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4E6" w:rsidRDefault="00FD5FE3">
      <w:pPr>
        <w:spacing w:line="800" w:lineRule="exact"/>
        <w:jc w:val="center"/>
        <w:rPr>
          <w:sz w:val="44"/>
          <w:szCs w:val="44"/>
        </w:rPr>
      </w:pPr>
      <w:bookmarkStart w:id="0" w:name="_Toc80789022"/>
      <w:r>
        <w:rPr>
          <w:sz w:val="44"/>
          <w:szCs w:val="44"/>
        </w:rPr>
        <w:t>南通</w:t>
      </w:r>
      <w:r>
        <w:rPr>
          <w:rFonts w:hint="eastAsia"/>
          <w:sz w:val="44"/>
          <w:szCs w:val="44"/>
        </w:rPr>
        <w:t>市</w:t>
      </w:r>
      <w:r>
        <w:rPr>
          <w:sz w:val="44"/>
          <w:szCs w:val="44"/>
        </w:rPr>
        <w:t>第</w:t>
      </w:r>
      <w:r>
        <w:rPr>
          <w:rFonts w:hint="eastAsia"/>
          <w:sz w:val="44"/>
          <w:szCs w:val="44"/>
        </w:rPr>
        <w:t>三</w:t>
      </w:r>
      <w:r>
        <w:rPr>
          <w:sz w:val="44"/>
          <w:szCs w:val="44"/>
        </w:rPr>
        <w:t>人民医院</w:t>
      </w:r>
    </w:p>
    <w:p w:rsidR="000864E6" w:rsidRDefault="00FD5FE3">
      <w:pPr>
        <w:spacing w:line="80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基于</w:t>
      </w:r>
      <w:r>
        <w:rPr>
          <w:rFonts w:hint="eastAsia"/>
          <w:sz w:val="40"/>
          <w:szCs w:val="40"/>
        </w:rPr>
        <w:t>CN-DRG</w:t>
      </w:r>
      <w:r>
        <w:rPr>
          <w:rFonts w:hint="eastAsia"/>
          <w:sz w:val="40"/>
          <w:szCs w:val="40"/>
        </w:rPr>
        <w:t>的医疗质量管控分析系统项目</w:t>
      </w:r>
    </w:p>
    <w:p w:rsidR="000864E6" w:rsidRDefault="00FD5FE3">
      <w:pPr>
        <w:spacing w:line="800" w:lineRule="exact"/>
        <w:jc w:val="center"/>
        <w:rPr>
          <w:rFonts w:ascii="仿宋" w:eastAsia="仿宋" w:hAnsi="仿宋"/>
        </w:rPr>
      </w:pPr>
      <w:r>
        <w:rPr>
          <w:rFonts w:hint="eastAsia"/>
          <w:sz w:val="44"/>
          <w:szCs w:val="44"/>
        </w:rPr>
        <w:t>技术了解需求</w:t>
      </w:r>
      <w:r>
        <w:rPr>
          <w:rFonts w:ascii="仿宋" w:eastAsia="仿宋" w:hAnsi="仿宋" w:hint="eastAsia"/>
        </w:rPr>
        <w:t xml:space="preserve">　</w:t>
      </w:r>
    </w:p>
    <w:p w:rsidR="000864E6" w:rsidRDefault="00FD5FE3">
      <w:pPr>
        <w:pStyle w:val="2"/>
        <w:numPr>
          <w:ilvl w:val="0"/>
          <w:numId w:val="2"/>
        </w:numPr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项目概况　</w:t>
      </w:r>
    </w:p>
    <w:p w:rsidR="000864E6" w:rsidRDefault="00FD5FE3">
      <w:pPr>
        <w:pStyle w:val="2"/>
        <w:numPr>
          <w:ilvl w:val="1"/>
          <w:numId w:val="3"/>
        </w:numPr>
        <w:spacing w:line="360" w:lineRule="auto"/>
      </w:pPr>
      <w:bookmarkStart w:id="1" w:name="_Toc24100457"/>
      <w:r>
        <w:rPr>
          <w:rFonts w:hint="eastAsia"/>
        </w:rPr>
        <w:t>背景</w:t>
      </w:r>
      <w:bookmarkEnd w:id="1"/>
    </w:p>
    <w:p w:rsidR="000864E6" w:rsidRDefault="00FD5FE3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在2022年9月末国家卫生健康委发布的《公立医院高质量发展评价指标（试行）》中，同样涉及了DRG相关指标考核，涉及CMI值、时间消耗指数、低风险组病例死亡率。同样，在2023年三级公立医院绩效考核方案中，在“医疗质量安全”考核指标中，同样涉及了低风险组病例死亡率。</w:t>
      </w:r>
    </w:p>
    <w:p w:rsidR="000864E6" w:rsidRDefault="00FD5FE3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DRGs能够解决病例标准化问题，从而评价医院的医疗服务绩效。以DRG分组为依据的医疗服务绩效评价是目前公认的比较先进的、科学的评价方法，为医疗服务质量评价、医院绩效分配提供依据，以此实现医生、科室、医疗组、专科各个层级的考核评价。将DRG与传统绩效考核方法结合，形成了一套基于DRGs的医疗绩效评价方案。</w:t>
      </w:r>
    </w:p>
    <w:p w:rsidR="000864E6" w:rsidRDefault="00FD5FE3">
      <w:pPr>
        <w:spacing w:afterLines="50" w:after="156" w:line="360" w:lineRule="auto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以病案首页数据为基础，将DRGs部分指标纳入绩效考核指标，建立基于DRG的绩效评价指标，涵盖服务能力、服务效率、医疗安全与质量三个维度，实现同质病例服务绩效的比较，并将医疗服务产能、效率及质量综合评价纳入考核范围，提高评价结果的全面性和可靠性，从而有效解决不同学科、病种和医师之间的可比性问题，用于医院、学科、科室、医疗组、医师等各个层级的绩效评价，通过建立合理的绩效评价机制，从多维度多层级进行数据分析，达到促进医疗服务质量提高的目的。</w:t>
      </w:r>
    </w:p>
    <w:p w:rsidR="000864E6" w:rsidRDefault="000864E6">
      <w:pPr>
        <w:spacing w:afterLines="50" w:after="156" w:line="360" w:lineRule="auto"/>
        <w:ind w:firstLineChars="200" w:firstLine="480"/>
        <w:rPr>
          <w:rFonts w:ascii="仿宋" w:eastAsia="仿宋" w:hAnsi="仿宋" w:cs="仿宋"/>
          <w:color w:val="000000"/>
          <w:sz w:val="24"/>
        </w:rPr>
      </w:pPr>
    </w:p>
    <w:p w:rsidR="000864E6" w:rsidRDefault="00FD5FE3">
      <w:pPr>
        <w:pStyle w:val="2"/>
        <w:numPr>
          <w:ilvl w:val="0"/>
          <w:numId w:val="4"/>
        </w:numPr>
        <w:rPr>
          <w:rFonts w:asciiTheme="majorEastAsia" w:hAnsiTheme="majorEastAsia" w:cstheme="majorEastAsia"/>
        </w:rPr>
      </w:pPr>
      <w:r>
        <w:rPr>
          <w:rFonts w:asciiTheme="majorEastAsia" w:hAnsiTheme="majorEastAsia" w:cstheme="majorEastAsia" w:hint="eastAsia"/>
        </w:rPr>
        <w:lastRenderedPageBreak/>
        <w:t>项目软硬件配置数量及需求清单</w:t>
      </w:r>
      <w:bookmarkEnd w:id="0"/>
    </w:p>
    <w:p w:rsidR="000864E6" w:rsidRDefault="00FD5FE3">
      <w:pPr>
        <w:pStyle w:val="2"/>
        <w:spacing w:line="360" w:lineRule="auto"/>
      </w:pPr>
      <w:r>
        <w:rPr>
          <w:rFonts w:hint="eastAsia"/>
        </w:rPr>
        <w:t xml:space="preserve"> 2.1</w:t>
      </w:r>
      <w:r>
        <w:rPr>
          <w:rFonts w:hint="eastAsia"/>
        </w:rPr>
        <w:t>分析内容</w:t>
      </w:r>
    </w:p>
    <w:p w:rsidR="000864E6" w:rsidRDefault="000864E6"/>
    <w:p w:rsidR="000864E6" w:rsidRDefault="00FD5FE3">
      <w:pPr>
        <w:spacing w:line="360" w:lineRule="auto"/>
        <w:ind w:firstLine="420"/>
        <w:rPr>
          <w:rFonts w:asciiTheme="majorEastAsia" w:eastAsiaTheme="majorEastAsia" w:hAnsiTheme="majorEastAsia" w:cstheme="majorEastAsia"/>
          <w:sz w:val="24"/>
          <w:lang w:eastAsia="zh-Hans"/>
        </w:rPr>
      </w:pPr>
      <w:r>
        <w:rPr>
          <w:rFonts w:asciiTheme="majorEastAsia" w:eastAsiaTheme="majorEastAsia" w:hAnsiTheme="majorEastAsia" w:cstheme="majorEastAsia" w:hint="eastAsia"/>
          <w:sz w:val="24"/>
        </w:rPr>
        <w:t>DRG医疗服务运营监管</w:t>
      </w:r>
      <w:r>
        <w:rPr>
          <w:rFonts w:asciiTheme="majorEastAsia" w:eastAsiaTheme="majorEastAsia" w:hAnsiTheme="majorEastAsia" w:cstheme="majorEastAsia" w:hint="eastAsia"/>
          <w:sz w:val="24"/>
          <w:lang w:eastAsia="zh-Hans"/>
        </w:rPr>
        <w:t>主要从医疗服务能力、医疗服务效率、医疗安全三个维度进行评价分析，将DRG组有效占比、CMI、效率指数、低风险组死亡等指标纳入总体考核指标体系，通过评价学科发展均衡性以指导医院发展。应包括如下内容：</w:t>
      </w:r>
    </w:p>
    <w:p w:rsidR="000864E6" w:rsidRDefault="00FD5FE3">
      <w:pPr>
        <w:numPr>
          <w:ilvl w:val="0"/>
          <w:numId w:val="5"/>
        </w:numPr>
        <w:spacing w:line="360" w:lineRule="auto"/>
        <w:ind w:firstLine="42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  <w:lang w:eastAsia="zh-Hans"/>
        </w:rPr>
        <w:t>全院DRG综合分析：根据各科室指标排名，包括时间指数、费用指数、权重和各得分情况，并且钻取查看全院/科室/医师情况；对核心指标提供图表对比分析。同时对</w:t>
      </w:r>
      <w:r>
        <w:rPr>
          <w:rFonts w:asciiTheme="majorEastAsia" w:eastAsiaTheme="majorEastAsia" w:hAnsiTheme="majorEastAsia" w:cstheme="majorEastAsia" w:hint="eastAsia"/>
          <w:sz w:val="24"/>
        </w:rPr>
        <w:t>各DRG病组</w:t>
      </w:r>
      <w:r>
        <w:rPr>
          <w:rFonts w:asciiTheme="majorEastAsia" w:eastAsiaTheme="majorEastAsia" w:hAnsiTheme="majorEastAsia" w:cstheme="majorEastAsia" w:hint="eastAsia"/>
          <w:sz w:val="24"/>
          <w:lang w:eastAsia="zh-Hans"/>
        </w:rPr>
        <w:t>按照</w:t>
      </w:r>
      <w:r>
        <w:rPr>
          <w:rFonts w:asciiTheme="majorEastAsia" w:eastAsiaTheme="majorEastAsia" w:hAnsiTheme="majorEastAsia" w:cstheme="majorEastAsia" w:hint="eastAsia"/>
          <w:sz w:val="24"/>
        </w:rPr>
        <w:t>平均费用、平均住院日、权重、效率得分等</w:t>
      </w:r>
      <w:r>
        <w:rPr>
          <w:rFonts w:asciiTheme="majorEastAsia" w:eastAsiaTheme="majorEastAsia" w:hAnsiTheme="majorEastAsia" w:cstheme="majorEastAsia" w:hint="eastAsia"/>
          <w:sz w:val="24"/>
          <w:lang w:eastAsia="zh-Hans"/>
        </w:rPr>
        <w:t>生成</w:t>
      </w:r>
      <w:r>
        <w:rPr>
          <w:rFonts w:asciiTheme="majorEastAsia" w:eastAsiaTheme="majorEastAsia" w:hAnsiTheme="majorEastAsia" w:cstheme="majorEastAsia" w:hint="eastAsia"/>
          <w:sz w:val="24"/>
        </w:rPr>
        <w:t>指标报表。</w:t>
      </w:r>
    </w:p>
    <w:p w:rsidR="000864E6" w:rsidRDefault="00FD5FE3">
      <w:pPr>
        <w:numPr>
          <w:ilvl w:val="0"/>
          <w:numId w:val="5"/>
        </w:numPr>
        <w:spacing w:line="360" w:lineRule="auto"/>
        <w:ind w:firstLine="420"/>
        <w:rPr>
          <w:rFonts w:asciiTheme="majorEastAsia" w:eastAsiaTheme="majorEastAsia" w:hAnsiTheme="majorEastAsia" w:cstheme="majorEastAsia"/>
          <w:sz w:val="24"/>
          <w:lang w:eastAsia="zh-Hans"/>
        </w:rPr>
      </w:pPr>
      <w:r>
        <w:rPr>
          <w:rFonts w:asciiTheme="majorEastAsia" w:eastAsiaTheme="majorEastAsia" w:hAnsiTheme="majorEastAsia" w:cstheme="majorEastAsia" w:hint="eastAsia"/>
          <w:sz w:val="24"/>
          <w:lang w:eastAsia="zh-Hans"/>
        </w:rPr>
        <w:t>产能与效率分析：针对全院数据根据DRG指标（出院患者例数、入组患者例数、入组率、CMI值、时间指数、费用指数等）进行分析。</w:t>
      </w:r>
    </w:p>
    <w:p w:rsidR="000864E6" w:rsidRDefault="00FD5FE3">
      <w:pPr>
        <w:numPr>
          <w:ilvl w:val="0"/>
          <w:numId w:val="5"/>
        </w:numPr>
        <w:spacing w:line="360" w:lineRule="auto"/>
        <w:ind w:firstLine="42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  <w:lang w:eastAsia="zh-Hans"/>
        </w:rPr>
        <w:t>数据质量分析：对全院对歧义病历、</w:t>
      </w:r>
      <w:r>
        <w:rPr>
          <w:rFonts w:asciiTheme="majorEastAsia" w:eastAsiaTheme="majorEastAsia" w:hAnsiTheme="majorEastAsia" w:cstheme="majorEastAsia" w:hint="eastAsia"/>
          <w:sz w:val="24"/>
        </w:rPr>
        <w:t>住院超60天、费用小于5、有疑问主诊断</w:t>
      </w:r>
      <w:r>
        <w:rPr>
          <w:rFonts w:asciiTheme="majorEastAsia" w:eastAsiaTheme="majorEastAsia" w:hAnsiTheme="majorEastAsia" w:cstheme="majorEastAsia" w:hint="eastAsia"/>
          <w:sz w:val="24"/>
          <w:lang w:eastAsia="zh-Hans"/>
        </w:rPr>
        <w:t>等数据质量问题进行分析管理。</w:t>
      </w:r>
    </w:p>
    <w:p w:rsidR="000864E6" w:rsidRDefault="00FD5FE3">
      <w:pPr>
        <w:pStyle w:val="2"/>
        <w:spacing w:line="360" w:lineRule="auto"/>
      </w:pPr>
      <w:r>
        <w:rPr>
          <w:rFonts w:hint="eastAsia"/>
        </w:rPr>
        <w:t xml:space="preserve"> 2.2</w:t>
      </w:r>
      <w:r>
        <w:rPr>
          <w:rFonts w:hint="eastAsia"/>
        </w:rPr>
        <w:t>评估内容分析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119"/>
        <w:gridCol w:w="4819"/>
      </w:tblGrid>
      <w:tr w:rsidR="000864E6">
        <w:tc>
          <w:tcPr>
            <w:tcW w:w="817" w:type="dxa"/>
            <w:shd w:val="clear" w:color="auto" w:fill="8DB3E2"/>
          </w:tcPr>
          <w:p w:rsidR="000864E6" w:rsidRDefault="00FD5FE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119" w:type="dxa"/>
            <w:shd w:val="clear" w:color="auto" w:fill="8DB3E2"/>
          </w:tcPr>
          <w:p w:rsidR="000864E6" w:rsidRDefault="00FD5FE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评估内容</w:t>
            </w:r>
          </w:p>
        </w:tc>
        <w:tc>
          <w:tcPr>
            <w:tcW w:w="4819" w:type="dxa"/>
            <w:shd w:val="clear" w:color="auto" w:fill="8DB3E2"/>
          </w:tcPr>
          <w:p w:rsidR="000864E6" w:rsidRDefault="00FD5FE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相应指标</w:t>
            </w:r>
          </w:p>
        </w:tc>
      </w:tr>
      <w:tr w:rsidR="000864E6">
        <w:tc>
          <w:tcPr>
            <w:tcW w:w="817" w:type="dxa"/>
          </w:tcPr>
          <w:p w:rsidR="000864E6" w:rsidRDefault="00FD5F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119" w:type="dxa"/>
          </w:tcPr>
          <w:p w:rsidR="000864E6" w:rsidRDefault="00FD5F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医疗服务广度</w:t>
            </w:r>
          </w:p>
        </w:tc>
        <w:tc>
          <w:tcPr>
            <w:tcW w:w="4819" w:type="dxa"/>
          </w:tcPr>
          <w:p w:rsidR="000864E6" w:rsidRDefault="00FD5F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DRG</w:t>
            </w:r>
            <w:r>
              <w:rPr>
                <w:rFonts w:hint="eastAsia"/>
                <w:sz w:val="24"/>
              </w:rPr>
              <w:t>组数</w:t>
            </w:r>
          </w:p>
        </w:tc>
      </w:tr>
      <w:tr w:rsidR="000864E6">
        <w:tc>
          <w:tcPr>
            <w:tcW w:w="817" w:type="dxa"/>
          </w:tcPr>
          <w:p w:rsidR="000864E6" w:rsidRDefault="00FD5F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119" w:type="dxa"/>
          </w:tcPr>
          <w:p w:rsidR="000864E6" w:rsidRDefault="00FD5F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医疗服务的整体技术难度</w:t>
            </w:r>
          </w:p>
        </w:tc>
        <w:tc>
          <w:tcPr>
            <w:tcW w:w="4819" w:type="dxa"/>
          </w:tcPr>
          <w:p w:rsidR="000864E6" w:rsidRDefault="00FD5F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病例组合指数值（</w:t>
            </w:r>
            <w:r>
              <w:rPr>
                <w:rFonts w:hint="eastAsia"/>
                <w:sz w:val="24"/>
              </w:rPr>
              <w:t>CMI</w:t>
            </w:r>
            <w:r>
              <w:rPr>
                <w:rFonts w:hint="eastAsia"/>
                <w:sz w:val="24"/>
              </w:rPr>
              <w:t>值）</w:t>
            </w:r>
            <w:r>
              <w:rPr>
                <w:sz w:val="24"/>
              </w:rPr>
              <w:t xml:space="preserve"> </w:t>
            </w:r>
          </w:p>
        </w:tc>
      </w:tr>
      <w:tr w:rsidR="000864E6">
        <w:tc>
          <w:tcPr>
            <w:tcW w:w="817" w:type="dxa"/>
          </w:tcPr>
          <w:p w:rsidR="000864E6" w:rsidRDefault="00FD5F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119" w:type="dxa"/>
          </w:tcPr>
          <w:p w:rsidR="000864E6" w:rsidRDefault="00FD5F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同类疾病的治疗时间</w:t>
            </w:r>
          </w:p>
        </w:tc>
        <w:tc>
          <w:tcPr>
            <w:tcW w:w="4819" w:type="dxa"/>
          </w:tcPr>
          <w:p w:rsidR="000864E6" w:rsidRDefault="00FD5F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费用消耗指数</w:t>
            </w:r>
            <w:r>
              <w:rPr>
                <w:sz w:val="24"/>
              </w:rPr>
              <w:t xml:space="preserve"> </w:t>
            </w:r>
          </w:p>
        </w:tc>
      </w:tr>
      <w:tr w:rsidR="000864E6">
        <w:tc>
          <w:tcPr>
            <w:tcW w:w="817" w:type="dxa"/>
          </w:tcPr>
          <w:p w:rsidR="000864E6" w:rsidRDefault="00FD5F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119" w:type="dxa"/>
          </w:tcPr>
          <w:p w:rsidR="000864E6" w:rsidRDefault="00FD5F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同类疾病的治疗时间</w:t>
            </w:r>
          </w:p>
        </w:tc>
        <w:tc>
          <w:tcPr>
            <w:tcW w:w="4819" w:type="dxa"/>
          </w:tcPr>
          <w:p w:rsidR="000864E6" w:rsidRDefault="00FD5F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时间消耗指数</w:t>
            </w:r>
            <w:r>
              <w:rPr>
                <w:sz w:val="24"/>
              </w:rPr>
              <w:t xml:space="preserve"> </w:t>
            </w:r>
          </w:p>
        </w:tc>
      </w:tr>
      <w:tr w:rsidR="000864E6">
        <w:tc>
          <w:tcPr>
            <w:tcW w:w="817" w:type="dxa"/>
          </w:tcPr>
          <w:p w:rsidR="000864E6" w:rsidRDefault="00FD5F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119" w:type="dxa"/>
          </w:tcPr>
          <w:p w:rsidR="000864E6" w:rsidRDefault="00FD5F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医疗服务质量</w:t>
            </w:r>
          </w:p>
        </w:tc>
        <w:tc>
          <w:tcPr>
            <w:tcW w:w="4819" w:type="dxa"/>
          </w:tcPr>
          <w:p w:rsidR="000864E6" w:rsidRDefault="00FD5F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低风险组住院死亡率</w:t>
            </w:r>
            <w:r>
              <w:rPr>
                <w:sz w:val="24"/>
              </w:rPr>
              <w:t xml:space="preserve"> </w:t>
            </w:r>
          </w:p>
        </w:tc>
      </w:tr>
      <w:tr w:rsidR="000864E6">
        <w:tc>
          <w:tcPr>
            <w:tcW w:w="817" w:type="dxa"/>
          </w:tcPr>
          <w:p w:rsidR="000864E6" w:rsidRDefault="00FD5F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119" w:type="dxa"/>
          </w:tcPr>
          <w:p w:rsidR="000864E6" w:rsidRDefault="00FD5F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综合医院技术全面性的测评</w:t>
            </w:r>
          </w:p>
        </w:tc>
        <w:tc>
          <w:tcPr>
            <w:tcW w:w="4819" w:type="dxa"/>
          </w:tcPr>
          <w:p w:rsidR="000864E6" w:rsidRDefault="00FD5F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缺失专业和低分专业数量</w:t>
            </w:r>
            <w:r>
              <w:rPr>
                <w:rFonts w:hint="eastAsia"/>
                <w:sz w:val="24"/>
              </w:rPr>
              <w:t xml:space="preserve">(MDC) </w:t>
            </w:r>
          </w:p>
        </w:tc>
      </w:tr>
    </w:tbl>
    <w:p w:rsidR="000864E6" w:rsidRDefault="00FD5FE3">
      <w:pPr>
        <w:pStyle w:val="2"/>
        <w:spacing w:before="120" w:line="360" w:lineRule="auto"/>
      </w:pPr>
      <w:bookmarkStart w:id="2" w:name="_Toc24100461"/>
      <w:r>
        <w:rPr>
          <w:rFonts w:hint="eastAsia"/>
        </w:rPr>
        <w:lastRenderedPageBreak/>
        <w:t xml:space="preserve"> </w:t>
      </w:r>
      <w:bookmarkEnd w:id="2"/>
    </w:p>
    <w:p w:rsidR="000864E6" w:rsidRDefault="00FD5FE3">
      <w:pPr>
        <w:pStyle w:val="2"/>
        <w:numPr>
          <w:ilvl w:val="0"/>
          <w:numId w:val="4"/>
        </w:numPr>
      </w:pPr>
      <w:r>
        <w:rPr>
          <w:rFonts w:asciiTheme="majorEastAsia" w:hAnsiTheme="majorEastAsia" w:cstheme="majorEastAsia" w:hint="eastAsia"/>
        </w:rPr>
        <w:t>系统</w:t>
      </w:r>
      <w:r w:rsidR="0071498B">
        <w:rPr>
          <w:rFonts w:asciiTheme="majorEastAsia" w:hAnsiTheme="majorEastAsia" w:cstheme="majorEastAsia" w:hint="eastAsia"/>
        </w:rPr>
        <w:t>需求</w:t>
      </w:r>
      <w:bookmarkStart w:id="3" w:name="_GoBack"/>
      <w:bookmarkEnd w:id="3"/>
      <w:r>
        <w:rPr>
          <w:rFonts w:asciiTheme="majorEastAsia" w:hAnsiTheme="majorEastAsia" w:cstheme="majorEastAsia" w:hint="eastAsia"/>
        </w:rPr>
        <w:t>模块</w:t>
      </w:r>
    </w:p>
    <w:tbl>
      <w:tblPr>
        <w:tblW w:w="8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1488"/>
        <w:gridCol w:w="5803"/>
      </w:tblGrid>
      <w:tr w:rsidR="000864E6">
        <w:trPr>
          <w:trHeight w:val="330"/>
          <w:jc w:val="center"/>
        </w:trPr>
        <w:tc>
          <w:tcPr>
            <w:tcW w:w="1318" w:type="dxa"/>
            <w:shd w:val="clear" w:color="auto" w:fill="FFFFFF"/>
            <w:vAlign w:val="center"/>
          </w:tcPr>
          <w:p w:rsidR="000864E6" w:rsidRDefault="00FD5FE3">
            <w:pPr>
              <w:widowControl/>
              <w:jc w:val="left"/>
              <w:textAlignment w:val="top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系统模块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0864E6" w:rsidRDefault="00FD5FE3">
            <w:pPr>
              <w:widowControl/>
              <w:textAlignment w:val="top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子模块</w:t>
            </w:r>
          </w:p>
        </w:tc>
        <w:tc>
          <w:tcPr>
            <w:tcW w:w="5803" w:type="dxa"/>
            <w:shd w:val="clear" w:color="auto" w:fill="FFFFFF"/>
            <w:vAlign w:val="center"/>
          </w:tcPr>
          <w:p w:rsidR="000864E6" w:rsidRDefault="00FD5FE3">
            <w:pPr>
              <w:widowControl/>
              <w:textAlignment w:val="top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功能要求</w:t>
            </w:r>
          </w:p>
        </w:tc>
      </w:tr>
      <w:tr w:rsidR="000864E6">
        <w:trPr>
          <w:trHeight w:val="90"/>
          <w:jc w:val="center"/>
        </w:trPr>
        <w:tc>
          <w:tcPr>
            <w:tcW w:w="1318" w:type="dxa"/>
            <w:shd w:val="clear" w:color="auto" w:fill="FFFFFF"/>
            <w:vAlign w:val="center"/>
          </w:tcPr>
          <w:p w:rsidR="000864E6" w:rsidRDefault="00FD5FE3">
            <w:pPr>
              <w:widowControl/>
              <w:jc w:val="left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eastAsia="zh-Hans" w:bidi="ar"/>
              </w:rPr>
              <w:t>总体技术要求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0864E6" w:rsidRDefault="000864E6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5803" w:type="dxa"/>
            <w:shd w:val="clear" w:color="auto" w:fill="FFFFFF"/>
            <w:vAlign w:val="center"/>
          </w:tcPr>
          <w:p w:rsidR="000864E6" w:rsidRDefault="00FD5FE3">
            <w:pPr>
              <w:widowControl/>
              <w:textAlignment w:val="top"/>
              <w:rPr>
                <w:rFonts w:asciiTheme="minorEastAsia" w:eastAsiaTheme="minorEastAsia" w:hAnsiTheme="minorEastAsia" w:cstheme="minorEastAsia"/>
                <w:color w:val="00000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  <w:lang w:eastAsia="zh-Hans"/>
              </w:rPr>
              <w:t>1．技术框架：采用三层（数据层、逻辑层、UI层）应用架构，使用面向服务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  <w:lang w:eastAsia="zh-Hans"/>
              </w:rPr>
              <w:t>SOA)架构模型，可视化的、分层结构、模块化、面向对象的开发工具。</w:t>
            </w:r>
          </w:p>
          <w:p w:rsidR="000864E6" w:rsidRDefault="00FD5FE3">
            <w:pPr>
              <w:widowControl/>
              <w:textAlignment w:val="top"/>
              <w:rPr>
                <w:rFonts w:asciiTheme="minorEastAsia" w:eastAsiaTheme="minorEastAsia" w:hAnsiTheme="minorEastAsia" w:cstheme="minorEastAsia"/>
                <w:color w:val="00000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  <w:lang w:eastAsia="zh-Hans"/>
              </w:rPr>
              <w:t>2．设计方法：采用SOA分析与设计方法，组件化、平台化与集成模式，充分考虑系统的安全性、可扩展性、稳定性。</w:t>
            </w:r>
          </w:p>
          <w:p w:rsidR="000864E6" w:rsidRDefault="00FD5FE3">
            <w:pPr>
              <w:widowControl/>
              <w:textAlignment w:val="top"/>
              <w:rPr>
                <w:rFonts w:asciiTheme="minorEastAsia" w:eastAsiaTheme="minorEastAsia" w:hAnsiTheme="minorEastAsia" w:cstheme="minorEastAsia"/>
                <w:color w:val="00000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  <w:lang w:eastAsia="zh-Hans"/>
              </w:rPr>
              <w:t>3．技术要求：</w:t>
            </w:r>
          </w:p>
          <w:p w:rsidR="000864E6" w:rsidRDefault="00FD5FE3">
            <w:pPr>
              <w:widowControl/>
              <w:textAlignment w:val="top"/>
              <w:rPr>
                <w:rFonts w:asciiTheme="minorEastAsia" w:eastAsiaTheme="minorEastAsia" w:hAnsiTheme="minorEastAsia" w:cstheme="minorEastAsia"/>
                <w:color w:val="00000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  <w:lang w:eastAsia="zh-Hans"/>
              </w:rPr>
              <w:t>系统记录行为日志、数据日志，采用B/S架构保证系统使用的稳定性和兼容性；支持chrome浏览器和主流浏览器。</w:t>
            </w:r>
          </w:p>
          <w:p w:rsidR="000864E6" w:rsidRDefault="00FD5FE3">
            <w:pPr>
              <w:pStyle w:val="11"/>
              <w:ind w:left="0" w:firstLine="0"/>
              <w:rPr>
                <w:rFonts w:asciiTheme="minorEastAsia" w:eastAsiaTheme="minorEastAsia" w:hAnsiTheme="minorEastAsia" w:cstheme="minorEastAsia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  <w:lang w:eastAsia="zh-Hans"/>
              </w:rPr>
              <w:t>编程语言支持跨平台应用，接口支持Web API、XML、WebService技术对外提供交互扩展。</w:t>
            </w:r>
          </w:p>
          <w:p w:rsidR="000864E6" w:rsidRDefault="00FD5FE3">
            <w:pPr>
              <w:widowControl/>
              <w:textAlignment w:val="top"/>
              <w:rPr>
                <w:rFonts w:asciiTheme="minorEastAsia" w:eastAsiaTheme="minorEastAsia" w:hAnsiTheme="minorEastAsia" w:cstheme="minorEastAsia"/>
                <w:color w:val="000000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  <w:lang w:eastAsia="zh-Hans"/>
              </w:rPr>
              <w:t>4．数据库要求：支持oracle12c以上版本，支持连接三方业务系统数据库包含mysql、sqlserver、oracle Db2等的视图，获取信息。</w:t>
            </w:r>
          </w:p>
        </w:tc>
      </w:tr>
      <w:tr w:rsidR="000864E6">
        <w:trPr>
          <w:trHeight w:val="90"/>
          <w:jc w:val="center"/>
        </w:trPr>
        <w:tc>
          <w:tcPr>
            <w:tcW w:w="1318" w:type="dxa"/>
            <w:vMerge w:val="restart"/>
            <w:shd w:val="clear" w:color="auto" w:fill="FFFFFF"/>
            <w:vAlign w:val="center"/>
          </w:tcPr>
          <w:p w:rsidR="000864E6" w:rsidRDefault="00FD5FE3">
            <w:pPr>
              <w:widowControl/>
              <w:jc w:val="left"/>
              <w:textAlignment w:val="top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Style w:val="10"/>
                <w:rFonts w:asciiTheme="minorEastAsia" w:eastAsiaTheme="minorEastAsia" w:hAnsiTheme="minorEastAsia" w:cstheme="minorEastAsia" w:hint="eastAsia"/>
                <w:b w:val="0"/>
                <w:color w:val="000000" w:themeColor="text1"/>
                <w:kern w:val="2"/>
                <w:sz w:val="21"/>
                <w:szCs w:val="21"/>
              </w:rPr>
              <w:t>综合分析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0864E6" w:rsidRDefault="00FD5FE3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综合排名</w:t>
            </w:r>
          </w:p>
        </w:tc>
        <w:tc>
          <w:tcPr>
            <w:tcW w:w="5803" w:type="dxa"/>
            <w:shd w:val="clear" w:color="auto" w:fill="FFFFFF"/>
            <w:vAlign w:val="center"/>
          </w:tcPr>
          <w:p w:rsidR="000864E6" w:rsidRDefault="00FD5FE3">
            <w:pPr>
              <w:widowControl/>
              <w:textAlignment w:val="top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提供各科室指标排名，包括时间指数、费用指数、权重和各得分情况；支持病区钻取医疗小组分析，再次钻取到医疗小组医师分析；核心指标提供图表对比分析。</w:t>
            </w:r>
          </w:p>
        </w:tc>
      </w:tr>
      <w:tr w:rsidR="000864E6">
        <w:trPr>
          <w:trHeight w:val="90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0864E6" w:rsidRDefault="000864E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488" w:type="dxa"/>
            <w:shd w:val="clear" w:color="auto" w:fill="FFFFFF"/>
            <w:vAlign w:val="center"/>
          </w:tcPr>
          <w:p w:rsidR="000864E6" w:rsidRDefault="00FD5FE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DRG分析</w:t>
            </w:r>
          </w:p>
        </w:tc>
        <w:tc>
          <w:tcPr>
            <w:tcW w:w="5803" w:type="dxa"/>
            <w:shd w:val="clear" w:color="auto" w:fill="FFFFFF"/>
            <w:vAlign w:val="center"/>
          </w:tcPr>
          <w:p w:rsidR="000864E6" w:rsidRDefault="00FD5FE3">
            <w:pPr>
              <w:widowControl/>
              <w:textAlignment w:val="top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提供各DRG病组的平均费用、平均住院日、权重、效率得分等指标报表。</w:t>
            </w:r>
          </w:p>
        </w:tc>
      </w:tr>
      <w:tr w:rsidR="000864E6">
        <w:trPr>
          <w:trHeight w:val="90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0864E6" w:rsidRDefault="000864E6">
            <w:pPr>
              <w:pStyle w:val="U2"/>
              <w:spacing w:before="31" w:after="31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88" w:type="dxa"/>
            <w:shd w:val="clear" w:color="auto" w:fill="FFFFFF"/>
            <w:vAlign w:val="center"/>
          </w:tcPr>
          <w:p w:rsidR="000864E6" w:rsidRDefault="00FD5FE3">
            <w:pPr>
              <w:pStyle w:val="U2"/>
              <w:widowControl/>
              <w:tabs>
                <w:tab w:val="left" w:pos="1971"/>
              </w:tabs>
              <w:spacing w:before="31" w:after="31" w:line="360" w:lineRule="auto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 w:bidi="ar"/>
              </w:rPr>
              <w:t>病种分析</w:t>
            </w:r>
          </w:p>
        </w:tc>
        <w:tc>
          <w:tcPr>
            <w:tcW w:w="5803" w:type="dxa"/>
            <w:shd w:val="clear" w:color="auto" w:fill="FFFFFF"/>
            <w:vAlign w:val="center"/>
          </w:tcPr>
          <w:p w:rsidR="000864E6" w:rsidRDefault="00FD5FE3">
            <w:pPr>
              <w:widowControl/>
              <w:textAlignment w:val="top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提供按种统计DRG服务相关指标统计报表，提供病例覆盖前十病种、总权重排名前十病种排名。</w:t>
            </w:r>
          </w:p>
        </w:tc>
      </w:tr>
      <w:tr w:rsidR="000864E6">
        <w:trPr>
          <w:trHeight w:val="90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0864E6" w:rsidRDefault="000864E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88" w:type="dxa"/>
            <w:shd w:val="clear" w:color="auto" w:fill="FFFFFF"/>
            <w:vAlign w:val="center"/>
          </w:tcPr>
          <w:p w:rsidR="000864E6" w:rsidRDefault="00FD5FE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医师分析</w:t>
            </w:r>
          </w:p>
        </w:tc>
        <w:tc>
          <w:tcPr>
            <w:tcW w:w="5803" w:type="dxa"/>
            <w:shd w:val="clear" w:color="auto" w:fill="FFFFFF"/>
            <w:vAlign w:val="center"/>
          </w:tcPr>
          <w:p w:rsidR="000864E6" w:rsidRDefault="00FD5FE3">
            <w:pPr>
              <w:widowControl/>
              <w:textAlignment w:val="top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按科室、医师等级等条件组合过滤条件，分析全院、科室、病区下三个级别医师的指标，支持钻取患者明细到病案首页</w:t>
            </w:r>
          </w:p>
        </w:tc>
      </w:tr>
      <w:tr w:rsidR="000864E6">
        <w:trPr>
          <w:trHeight w:val="90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0864E6" w:rsidRDefault="000864E6">
            <w:pPr>
              <w:widowControl/>
              <w:jc w:val="left"/>
              <w:textAlignment w:val="top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488" w:type="dxa"/>
            <w:shd w:val="clear" w:color="auto" w:fill="FFFFFF"/>
            <w:vAlign w:val="center"/>
          </w:tcPr>
          <w:p w:rsidR="000864E6" w:rsidRDefault="00FD5FE3">
            <w:pP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DRG绩效对比</w:t>
            </w:r>
          </w:p>
        </w:tc>
        <w:tc>
          <w:tcPr>
            <w:tcW w:w="5803" w:type="dxa"/>
            <w:shd w:val="clear" w:color="auto" w:fill="FFFFFF"/>
            <w:vAlign w:val="center"/>
          </w:tcPr>
          <w:p w:rsidR="000864E6" w:rsidRDefault="00FD5FE3">
            <w:pPr>
              <w:widowControl/>
              <w:textAlignment w:val="top"/>
              <w:rPr>
                <w:rFonts w:asciiTheme="minorEastAsia" w:eastAsiaTheme="minorEastAsia" w:hAnsiTheme="minorEastAsia" w:cstheme="minorEastAsia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Hans"/>
              </w:rPr>
              <w:t>对科室进行多维度综合对比，包括对科室医疗服务能力、服务效率、服务质量及安全等方面进行评价对比，包括CMI、时间消耗指数、费用消耗指数、低风险组死亡率等指标。</w:t>
            </w:r>
          </w:p>
        </w:tc>
      </w:tr>
      <w:tr w:rsidR="000864E6">
        <w:trPr>
          <w:trHeight w:val="90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0864E6" w:rsidRDefault="000864E6">
            <w:pPr>
              <w:widowControl/>
              <w:jc w:val="left"/>
              <w:textAlignment w:val="top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488" w:type="dxa"/>
            <w:shd w:val="clear" w:color="auto" w:fill="FFFFFF"/>
            <w:vAlign w:val="center"/>
          </w:tcPr>
          <w:p w:rsidR="000864E6" w:rsidRDefault="00FD5FE3">
            <w:pP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科室三四级手术分析</w:t>
            </w:r>
          </w:p>
        </w:tc>
        <w:tc>
          <w:tcPr>
            <w:tcW w:w="5803" w:type="dxa"/>
            <w:shd w:val="clear" w:color="auto" w:fill="FFFFFF"/>
            <w:vAlign w:val="center"/>
          </w:tcPr>
          <w:p w:rsidR="000864E6" w:rsidRDefault="00FD5FE3">
            <w:pPr>
              <w:widowControl/>
              <w:textAlignment w:val="top"/>
              <w:rPr>
                <w:rFonts w:asciiTheme="minorEastAsia" w:eastAsiaTheme="minorEastAsia" w:hAnsiTheme="minorEastAsia" w:cstheme="minorEastAsia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Hans"/>
              </w:rPr>
              <w:t>1.支持按月、季、年筛选时间范围。</w:t>
            </w:r>
          </w:p>
          <w:p w:rsidR="000864E6" w:rsidRDefault="00FD5FE3">
            <w:pPr>
              <w:widowControl/>
              <w:textAlignment w:val="top"/>
              <w:rPr>
                <w:rFonts w:asciiTheme="minorEastAsia" w:eastAsiaTheme="minorEastAsia" w:hAnsiTheme="minorEastAsia" w:cstheme="minorEastAsia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Hans"/>
              </w:rPr>
              <w:t>2.提供表格查看各个科室的手术人数、三级手术人数、四级手术人数及三四级人数占比，表格支持下载查看。</w:t>
            </w:r>
          </w:p>
        </w:tc>
      </w:tr>
      <w:tr w:rsidR="000864E6">
        <w:trPr>
          <w:trHeight w:val="90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0864E6" w:rsidRDefault="000864E6">
            <w:pPr>
              <w:widowControl/>
              <w:jc w:val="left"/>
              <w:textAlignment w:val="top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1488" w:type="dxa"/>
            <w:shd w:val="clear" w:color="auto" w:fill="FFFFFF"/>
            <w:vAlign w:val="center"/>
          </w:tcPr>
          <w:p w:rsidR="000864E6" w:rsidRDefault="00FD5FE3">
            <w:pPr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分析报告</w:t>
            </w:r>
          </w:p>
        </w:tc>
        <w:tc>
          <w:tcPr>
            <w:tcW w:w="5803" w:type="dxa"/>
            <w:shd w:val="clear" w:color="auto" w:fill="FFFFFF"/>
            <w:vAlign w:val="center"/>
          </w:tcPr>
          <w:p w:rsidR="000864E6" w:rsidRDefault="00FD5FE3">
            <w:pPr>
              <w:widowControl/>
              <w:textAlignment w:val="top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支持在线查看DRG数据分析报告，分析报告主要由数据质量、基于DRG 的医院综合评价、病组发展均衡、附表附图等四部分构成，系统支持导出Word 格式的报告。</w:t>
            </w:r>
          </w:p>
        </w:tc>
      </w:tr>
      <w:tr w:rsidR="000864E6">
        <w:trPr>
          <w:trHeight w:val="540"/>
          <w:jc w:val="center"/>
        </w:trPr>
        <w:tc>
          <w:tcPr>
            <w:tcW w:w="1318" w:type="dxa"/>
            <w:vMerge w:val="restart"/>
            <w:shd w:val="clear" w:color="auto" w:fill="FFFFFF"/>
            <w:vAlign w:val="center"/>
          </w:tcPr>
          <w:p w:rsidR="000864E6" w:rsidRDefault="00FD5FE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产能与效率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0864E6" w:rsidRDefault="00FD5FE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难度系数分析</w:t>
            </w:r>
          </w:p>
        </w:tc>
        <w:tc>
          <w:tcPr>
            <w:tcW w:w="5803" w:type="dxa"/>
            <w:shd w:val="clear" w:color="auto" w:fill="FFFFFF"/>
            <w:vAlign w:val="center"/>
          </w:tcPr>
          <w:p w:rsidR="000864E6" w:rsidRDefault="00FD5FE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提供不同范围权重的同期对比；按标准科室-病区统计不同范围权重指标。</w:t>
            </w:r>
          </w:p>
        </w:tc>
      </w:tr>
      <w:tr w:rsidR="000864E6">
        <w:trPr>
          <w:trHeight w:val="540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0864E6" w:rsidRDefault="000864E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88" w:type="dxa"/>
            <w:shd w:val="clear" w:color="auto" w:fill="FFFFFF"/>
            <w:vAlign w:val="center"/>
          </w:tcPr>
          <w:p w:rsidR="000864E6" w:rsidRDefault="00FD5FE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产能分析</w:t>
            </w:r>
          </w:p>
        </w:tc>
        <w:tc>
          <w:tcPr>
            <w:tcW w:w="5803" w:type="dxa"/>
            <w:shd w:val="clear" w:color="auto" w:fill="FFFFFF"/>
            <w:vAlign w:val="center"/>
          </w:tcPr>
          <w:p w:rsidR="000864E6" w:rsidRDefault="00FD5FE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提供院级指标（出院患者例数、入组患者例数、入组率、CMI值）；提供权重范围同期对比；提供DRG与CMI对比。</w:t>
            </w:r>
          </w:p>
        </w:tc>
      </w:tr>
      <w:tr w:rsidR="000864E6">
        <w:trPr>
          <w:trHeight w:val="540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0864E6" w:rsidRDefault="000864E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88" w:type="dxa"/>
            <w:shd w:val="clear" w:color="auto" w:fill="FFFFFF"/>
            <w:vAlign w:val="center"/>
          </w:tcPr>
          <w:p w:rsidR="000864E6" w:rsidRDefault="00FD5FE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效率分析</w:t>
            </w:r>
          </w:p>
        </w:tc>
        <w:tc>
          <w:tcPr>
            <w:tcW w:w="5803" w:type="dxa"/>
            <w:shd w:val="clear" w:color="auto" w:fill="FFFFFF"/>
            <w:vAlign w:val="center"/>
          </w:tcPr>
          <w:p w:rsidR="000864E6" w:rsidRDefault="00FD5FE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提供全院时间指数、费用指数、药品消耗指数和耗材指数；提供病区效率分析列表。</w:t>
            </w:r>
          </w:p>
        </w:tc>
      </w:tr>
      <w:tr w:rsidR="000864E6">
        <w:trPr>
          <w:trHeight w:val="540"/>
          <w:jc w:val="center"/>
        </w:trPr>
        <w:tc>
          <w:tcPr>
            <w:tcW w:w="1318" w:type="dxa"/>
            <w:vMerge w:val="restart"/>
            <w:shd w:val="clear" w:color="auto" w:fill="FFFFFF"/>
            <w:vAlign w:val="center"/>
          </w:tcPr>
          <w:p w:rsidR="000864E6" w:rsidRDefault="00FD5FE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lastRenderedPageBreak/>
              <w:t>质量与发展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0864E6" w:rsidRDefault="00FD5FE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MDC综合分析</w:t>
            </w:r>
          </w:p>
        </w:tc>
        <w:tc>
          <w:tcPr>
            <w:tcW w:w="5803" w:type="dxa"/>
            <w:shd w:val="clear" w:color="auto" w:fill="FFFFFF"/>
            <w:vAlign w:val="center"/>
          </w:tcPr>
          <w:p w:rsidR="000864E6" w:rsidRDefault="00FD5FE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提供MDC的例数和CMI同期对比；提供各MDC的平均费用、平均住院日等基础指标和实际DRG覆盖情况；提供MDC分析钻取到标准科室和病区。提供MDC到ADRG到DRG的钻取。</w:t>
            </w:r>
          </w:p>
        </w:tc>
      </w:tr>
      <w:tr w:rsidR="000864E6">
        <w:trPr>
          <w:trHeight w:val="540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0864E6" w:rsidRDefault="000864E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88" w:type="dxa"/>
            <w:shd w:val="clear" w:color="auto" w:fill="FFFFFF"/>
            <w:vAlign w:val="center"/>
          </w:tcPr>
          <w:p w:rsidR="000864E6" w:rsidRDefault="00FD5FE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手术质量分析</w:t>
            </w:r>
          </w:p>
        </w:tc>
        <w:tc>
          <w:tcPr>
            <w:tcW w:w="5803" w:type="dxa"/>
            <w:shd w:val="clear" w:color="auto" w:fill="FFFFFF"/>
            <w:vAlign w:val="center"/>
          </w:tcPr>
          <w:p w:rsidR="000864E6" w:rsidRDefault="00FD5FE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手术指标同比、手术愈合等级分布、科室手术指标分析等数据查询，固定报表、图形报表等。</w:t>
            </w:r>
          </w:p>
        </w:tc>
      </w:tr>
      <w:tr w:rsidR="000864E6">
        <w:trPr>
          <w:trHeight w:val="540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0864E6" w:rsidRDefault="000864E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88" w:type="dxa"/>
            <w:shd w:val="clear" w:color="auto" w:fill="FFFFFF"/>
            <w:vAlign w:val="center"/>
          </w:tcPr>
          <w:p w:rsidR="000864E6" w:rsidRDefault="00FD5FE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手术医师分析</w:t>
            </w:r>
          </w:p>
        </w:tc>
        <w:tc>
          <w:tcPr>
            <w:tcW w:w="5803" w:type="dxa"/>
            <w:shd w:val="clear" w:color="auto" w:fill="FFFFFF"/>
            <w:vAlign w:val="center"/>
          </w:tcPr>
          <w:p w:rsidR="000864E6" w:rsidRDefault="00FD5FE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提供手术医师指标分析，指标涵盖总权重、CMI、DRG组数、平均住院日、平均费用、时间指数、费用指数、低风险死亡例数等，支持多条件查询。</w:t>
            </w:r>
          </w:p>
        </w:tc>
      </w:tr>
      <w:tr w:rsidR="000864E6">
        <w:trPr>
          <w:trHeight w:val="540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0864E6" w:rsidRDefault="000864E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88" w:type="dxa"/>
            <w:shd w:val="clear" w:color="auto" w:fill="FFFFFF"/>
            <w:vAlign w:val="center"/>
          </w:tcPr>
          <w:p w:rsidR="000864E6" w:rsidRDefault="00FD5FE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死亡分析</w:t>
            </w:r>
          </w:p>
        </w:tc>
        <w:tc>
          <w:tcPr>
            <w:tcW w:w="5803" w:type="dxa"/>
            <w:shd w:val="clear" w:color="auto" w:fill="FFFFFF"/>
            <w:vAlign w:val="center"/>
          </w:tcPr>
          <w:p w:rsidR="000864E6" w:rsidRDefault="00FD5FE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提供全院死亡率同期对比；提供科室不同等级死亡率分布。提供低风险、中低风险、中高风险、高风险例数及死亡例数同期对比及科室例数分布。</w:t>
            </w:r>
          </w:p>
        </w:tc>
      </w:tr>
      <w:tr w:rsidR="000864E6">
        <w:trPr>
          <w:trHeight w:val="540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0864E6" w:rsidRDefault="000864E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88" w:type="dxa"/>
            <w:shd w:val="clear" w:color="auto" w:fill="FFFFFF"/>
            <w:vAlign w:val="center"/>
          </w:tcPr>
          <w:p w:rsidR="000864E6" w:rsidRDefault="00FD5FE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科室质量分析</w:t>
            </w:r>
          </w:p>
        </w:tc>
        <w:tc>
          <w:tcPr>
            <w:tcW w:w="5803" w:type="dxa"/>
            <w:shd w:val="clear" w:color="auto" w:fill="FFFFFF"/>
            <w:vAlign w:val="center"/>
          </w:tcPr>
          <w:p w:rsidR="000864E6" w:rsidRDefault="00FD5FE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展示无效病例类型及例数、展示整体入组情况、入组情况同期对比和各标准科室入组分布情况。</w:t>
            </w:r>
          </w:p>
        </w:tc>
      </w:tr>
      <w:tr w:rsidR="000864E6">
        <w:trPr>
          <w:trHeight w:val="540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0864E6" w:rsidRDefault="000864E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88" w:type="dxa"/>
            <w:shd w:val="clear" w:color="auto" w:fill="FFFFFF"/>
            <w:vAlign w:val="center"/>
          </w:tcPr>
          <w:p w:rsidR="000864E6" w:rsidRDefault="00FD5FE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QY病例分析</w:t>
            </w:r>
          </w:p>
        </w:tc>
        <w:tc>
          <w:tcPr>
            <w:tcW w:w="5803" w:type="dxa"/>
            <w:shd w:val="clear" w:color="auto" w:fill="FFFFFF"/>
            <w:vAlign w:val="center"/>
          </w:tcPr>
          <w:p w:rsidR="000864E6" w:rsidRDefault="00FD5FE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提供QY病例分析；以图表展示标准科室的QY分布；提供QY病例数同期对比和总例数排名前十位的QY类型。</w:t>
            </w:r>
          </w:p>
        </w:tc>
      </w:tr>
      <w:tr w:rsidR="000864E6">
        <w:trPr>
          <w:trHeight w:val="540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0864E6" w:rsidRDefault="000864E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88" w:type="dxa"/>
            <w:shd w:val="clear" w:color="auto" w:fill="FFFFFF"/>
            <w:vAlign w:val="center"/>
          </w:tcPr>
          <w:p w:rsidR="000864E6" w:rsidRDefault="00FD5FE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三级公立医院绩效考核DRG相关指标</w:t>
            </w:r>
          </w:p>
        </w:tc>
        <w:tc>
          <w:tcPr>
            <w:tcW w:w="5803" w:type="dxa"/>
            <w:shd w:val="clear" w:color="auto" w:fill="FFFFFF"/>
            <w:vAlign w:val="center"/>
          </w:tcPr>
          <w:p w:rsidR="000864E6" w:rsidRDefault="00FD5FE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1.支持按出院日期筛选数据范围。</w:t>
            </w:r>
          </w:p>
          <w:p w:rsidR="000864E6" w:rsidRDefault="00FD5FE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2.提供三级公立医院绩效考核指标部分的查看，包括出院患者手术人数占比等信息。</w:t>
            </w:r>
          </w:p>
        </w:tc>
      </w:tr>
      <w:tr w:rsidR="000864E6">
        <w:trPr>
          <w:trHeight w:val="540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0864E6" w:rsidRDefault="000864E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88" w:type="dxa"/>
            <w:shd w:val="clear" w:color="auto" w:fill="FFFFFF"/>
            <w:vAlign w:val="center"/>
          </w:tcPr>
          <w:p w:rsidR="000864E6" w:rsidRDefault="00FD5FE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等级评审相关DRG指标</w:t>
            </w:r>
          </w:p>
        </w:tc>
        <w:tc>
          <w:tcPr>
            <w:tcW w:w="5803" w:type="dxa"/>
            <w:shd w:val="clear" w:color="auto" w:fill="FFFFFF"/>
            <w:vAlign w:val="center"/>
          </w:tcPr>
          <w:p w:rsidR="000864E6" w:rsidRDefault="00FD5FE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1.支持按出院日期筛选数据范围。</w:t>
            </w:r>
          </w:p>
          <w:p w:rsidR="000864E6" w:rsidRDefault="00FD5FE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2.提供等级评审指标-2022部分指标内容的查看，包括DRG组数等信息。</w:t>
            </w:r>
          </w:p>
        </w:tc>
      </w:tr>
      <w:tr w:rsidR="000864E6">
        <w:trPr>
          <w:trHeight w:val="540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0864E6" w:rsidRDefault="000864E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88" w:type="dxa"/>
            <w:shd w:val="clear" w:color="auto" w:fill="FFFFFF"/>
            <w:vAlign w:val="center"/>
          </w:tcPr>
          <w:p w:rsidR="000864E6" w:rsidRPr="004F7EF6" w:rsidRDefault="00FD5FE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 w:rsidRPr="004F7EF6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重点专科评审指标</w:t>
            </w:r>
          </w:p>
        </w:tc>
        <w:tc>
          <w:tcPr>
            <w:tcW w:w="5803" w:type="dxa"/>
            <w:shd w:val="clear" w:color="auto" w:fill="FFFFFF"/>
            <w:vAlign w:val="center"/>
          </w:tcPr>
          <w:p w:rsidR="000864E6" w:rsidRPr="004F7EF6" w:rsidRDefault="00FD5FE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 w:rsidRPr="004F7EF6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提供重点专科评审相关指标内容的查看。</w:t>
            </w:r>
          </w:p>
        </w:tc>
      </w:tr>
      <w:tr w:rsidR="000864E6">
        <w:trPr>
          <w:trHeight w:val="540"/>
          <w:jc w:val="center"/>
        </w:trPr>
        <w:tc>
          <w:tcPr>
            <w:tcW w:w="1318" w:type="dxa"/>
            <w:shd w:val="clear" w:color="auto" w:fill="FFFFFF"/>
            <w:vAlign w:val="center"/>
          </w:tcPr>
          <w:p w:rsidR="000864E6" w:rsidRDefault="00FD5FE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预分组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0864E6" w:rsidRPr="004F7EF6" w:rsidRDefault="00FD5FE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 w:rsidRPr="004F7EF6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CN-DRG预分组</w:t>
            </w:r>
          </w:p>
        </w:tc>
        <w:tc>
          <w:tcPr>
            <w:tcW w:w="5803" w:type="dxa"/>
            <w:shd w:val="clear" w:color="auto" w:fill="FFFFFF"/>
            <w:vAlign w:val="center"/>
          </w:tcPr>
          <w:p w:rsidR="000864E6" w:rsidRPr="004F7EF6" w:rsidRDefault="00FD5FE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 w:rsidRPr="004F7EF6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支持CN-DRG预分组展示和模拟入组分析。</w:t>
            </w:r>
          </w:p>
        </w:tc>
      </w:tr>
      <w:tr w:rsidR="000864E6">
        <w:trPr>
          <w:trHeight w:val="983"/>
          <w:jc w:val="center"/>
        </w:trPr>
        <w:tc>
          <w:tcPr>
            <w:tcW w:w="1318" w:type="dxa"/>
            <w:vMerge w:val="restart"/>
            <w:shd w:val="clear" w:color="auto" w:fill="FFFFFF"/>
            <w:vAlign w:val="center"/>
          </w:tcPr>
          <w:p w:rsidR="000864E6" w:rsidRDefault="00FD5FE3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配置中心</w:t>
            </w:r>
          </w:p>
        </w:tc>
        <w:tc>
          <w:tcPr>
            <w:tcW w:w="1488" w:type="dxa"/>
            <w:vMerge w:val="restart"/>
            <w:shd w:val="clear" w:color="auto" w:fill="FFFFFF"/>
            <w:vAlign w:val="center"/>
          </w:tcPr>
          <w:p w:rsidR="000864E6" w:rsidRDefault="00FD5F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系统基础配置</w:t>
            </w:r>
          </w:p>
        </w:tc>
        <w:tc>
          <w:tcPr>
            <w:tcW w:w="5803" w:type="dxa"/>
            <w:shd w:val="clear" w:color="auto" w:fill="FFFFFF"/>
            <w:vAlign w:val="center"/>
          </w:tcPr>
          <w:p w:rsidR="000864E6" w:rsidRDefault="00FD5F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系统参数：系统相关运行参数的维护，医院基本信息、分组器URL等。</w:t>
            </w:r>
          </w:p>
        </w:tc>
      </w:tr>
      <w:tr w:rsidR="000864E6">
        <w:trPr>
          <w:trHeight w:val="355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0864E6" w:rsidRDefault="000864E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88" w:type="dxa"/>
            <w:vMerge/>
            <w:shd w:val="clear" w:color="auto" w:fill="FFFFFF"/>
            <w:vAlign w:val="center"/>
          </w:tcPr>
          <w:p w:rsidR="000864E6" w:rsidRDefault="000864E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03" w:type="dxa"/>
            <w:shd w:val="clear" w:color="auto" w:fill="FFFFFF"/>
            <w:vAlign w:val="center"/>
          </w:tcPr>
          <w:p w:rsidR="000864E6" w:rsidRDefault="00FD5F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数据源配置：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支持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数据源统一配置管理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eastAsia="zh-Hans" w:bidi="ar"/>
              </w:rPr>
              <w:t>功能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</w:tr>
      <w:tr w:rsidR="000864E6">
        <w:trPr>
          <w:trHeight w:val="535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0864E6" w:rsidRDefault="000864E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88" w:type="dxa"/>
            <w:vMerge/>
            <w:shd w:val="clear" w:color="auto" w:fill="FFFFFF"/>
            <w:vAlign w:val="center"/>
          </w:tcPr>
          <w:p w:rsidR="000864E6" w:rsidRDefault="000864E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03" w:type="dxa"/>
            <w:shd w:val="clear" w:color="auto" w:fill="FFFFFF"/>
            <w:vAlign w:val="center"/>
          </w:tcPr>
          <w:p w:rsidR="000864E6" w:rsidRDefault="00FD5F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数据同步配置：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支持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各个数据接口同步的前端配置页面。</w:t>
            </w:r>
          </w:p>
        </w:tc>
      </w:tr>
      <w:tr w:rsidR="000864E6">
        <w:trPr>
          <w:trHeight w:val="540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0864E6" w:rsidRDefault="000864E6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8" w:type="dxa"/>
            <w:vMerge w:val="restart"/>
            <w:shd w:val="clear" w:color="auto" w:fill="auto"/>
            <w:noWrap/>
            <w:vAlign w:val="center"/>
          </w:tcPr>
          <w:p w:rsidR="000864E6" w:rsidRDefault="00FD5F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调度中心</w:t>
            </w:r>
          </w:p>
        </w:tc>
        <w:tc>
          <w:tcPr>
            <w:tcW w:w="5803" w:type="dxa"/>
            <w:shd w:val="clear" w:color="auto" w:fill="auto"/>
            <w:vAlign w:val="center"/>
          </w:tcPr>
          <w:p w:rsidR="000864E6" w:rsidRDefault="00FD5F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调度作业：统一管理系统各项作业的名称，可设置运行参数、执行频率等参数。</w:t>
            </w:r>
          </w:p>
        </w:tc>
      </w:tr>
      <w:tr w:rsidR="000864E6">
        <w:trPr>
          <w:trHeight w:val="540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0864E6" w:rsidRDefault="000864E6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8" w:type="dxa"/>
            <w:vMerge/>
            <w:shd w:val="clear" w:color="auto" w:fill="auto"/>
            <w:noWrap/>
            <w:vAlign w:val="center"/>
          </w:tcPr>
          <w:p w:rsidR="000864E6" w:rsidRDefault="000864E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03" w:type="dxa"/>
            <w:shd w:val="clear" w:color="auto" w:fill="auto"/>
            <w:vAlign w:val="center"/>
          </w:tcPr>
          <w:p w:rsidR="000864E6" w:rsidRDefault="00FD5F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操作日志：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支持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系统参数配置日志，数据采集作业日志。</w:t>
            </w:r>
          </w:p>
        </w:tc>
      </w:tr>
      <w:tr w:rsidR="000864E6">
        <w:trPr>
          <w:trHeight w:val="540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0864E6" w:rsidRDefault="000864E6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8" w:type="dxa"/>
            <w:vMerge/>
            <w:shd w:val="clear" w:color="auto" w:fill="auto"/>
            <w:noWrap/>
            <w:vAlign w:val="center"/>
          </w:tcPr>
          <w:p w:rsidR="000864E6" w:rsidRDefault="000864E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03" w:type="dxa"/>
            <w:shd w:val="clear" w:color="auto" w:fill="auto"/>
            <w:vAlign w:val="center"/>
          </w:tcPr>
          <w:p w:rsidR="000864E6" w:rsidRDefault="00FD5F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任务监控：系统各项任务作业执行的实时仪表走势监控和历史走势监控。</w:t>
            </w:r>
          </w:p>
        </w:tc>
      </w:tr>
      <w:tr w:rsidR="000864E6">
        <w:trPr>
          <w:trHeight w:val="315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0864E6" w:rsidRDefault="000864E6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8" w:type="dxa"/>
            <w:vMerge/>
            <w:shd w:val="clear" w:color="auto" w:fill="auto"/>
            <w:noWrap/>
            <w:vAlign w:val="center"/>
          </w:tcPr>
          <w:p w:rsidR="000864E6" w:rsidRDefault="000864E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03" w:type="dxa"/>
            <w:shd w:val="clear" w:color="auto" w:fill="auto"/>
            <w:vAlign w:val="center"/>
          </w:tcPr>
          <w:p w:rsidR="000864E6" w:rsidRDefault="00FD5F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定时作业：统一管理系统所有需要定时执行的作业，监控执行状态，可设置执行频率。</w:t>
            </w:r>
          </w:p>
        </w:tc>
      </w:tr>
      <w:tr w:rsidR="000864E6">
        <w:trPr>
          <w:trHeight w:val="297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0864E6" w:rsidRDefault="000864E6"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88" w:type="dxa"/>
            <w:vMerge w:val="restart"/>
            <w:shd w:val="clear" w:color="auto" w:fill="FFFFFF"/>
            <w:vAlign w:val="center"/>
          </w:tcPr>
          <w:p w:rsidR="000864E6" w:rsidRDefault="00FD5FE3"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组织管理</w:t>
            </w:r>
          </w:p>
        </w:tc>
        <w:tc>
          <w:tcPr>
            <w:tcW w:w="5803" w:type="dxa"/>
            <w:shd w:val="clear" w:color="auto" w:fill="FFFFFF"/>
            <w:vAlign w:val="center"/>
          </w:tcPr>
          <w:p w:rsidR="000864E6" w:rsidRDefault="00FD5FE3"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科室管理：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管理医院的科室、科室对照、标准科室等科室相关信息。</w:t>
            </w:r>
          </w:p>
        </w:tc>
      </w:tr>
      <w:tr w:rsidR="000864E6">
        <w:trPr>
          <w:trHeight w:val="297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0864E6" w:rsidRDefault="000864E6"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</w:pPr>
          </w:p>
        </w:tc>
        <w:tc>
          <w:tcPr>
            <w:tcW w:w="1488" w:type="dxa"/>
            <w:vMerge/>
            <w:shd w:val="clear" w:color="auto" w:fill="FFFFFF"/>
            <w:vAlign w:val="center"/>
          </w:tcPr>
          <w:p w:rsidR="000864E6" w:rsidRDefault="000864E6"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803" w:type="dxa"/>
            <w:shd w:val="clear" w:color="auto" w:fill="FFFFFF"/>
            <w:vAlign w:val="center"/>
          </w:tcPr>
          <w:p w:rsidR="000864E6" w:rsidRDefault="00FD5FE3"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角色管理：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管理院内角色及系统使用权限。</w:t>
            </w:r>
          </w:p>
        </w:tc>
      </w:tr>
      <w:tr w:rsidR="000864E6">
        <w:trPr>
          <w:trHeight w:val="297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0864E6" w:rsidRDefault="000864E6"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eastAsia="zh-Hans" w:bidi="ar"/>
              </w:rPr>
            </w:pPr>
          </w:p>
        </w:tc>
        <w:tc>
          <w:tcPr>
            <w:tcW w:w="1488" w:type="dxa"/>
            <w:vMerge/>
            <w:shd w:val="clear" w:color="auto" w:fill="FFFFFF"/>
            <w:vAlign w:val="center"/>
          </w:tcPr>
          <w:p w:rsidR="000864E6" w:rsidRDefault="000864E6"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803" w:type="dxa"/>
            <w:shd w:val="clear" w:color="auto" w:fill="FFFFFF"/>
            <w:vAlign w:val="center"/>
          </w:tcPr>
          <w:p w:rsidR="000864E6" w:rsidRDefault="00FD5FE3"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用户管理：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管理院内用户及系统使用权限，可对用户进行编辑、重置密码和禁用等操作。</w:t>
            </w:r>
          </w:p>
        </w:tc>
      </w:tr>
    </w:tbl>
    <w:p w:rsidR="000864E6" w:rsidRDefault="00FD5FE3">
      <w:pPr>
        <w:pStyle w:val="a3"/>
        <w:autoSpaceDE w:val="0"/>
        <w:autoSpaceDN w:val="0"/>
        <w:spacing w:before="1" w:after="0" w:line="360" w:lineRule="auto"/>
        <w:ind w:right="211"/>
        <w:jc w:val="left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lastRenderedPageBreak/>
        <w:t>注</w:t>
      </w:r>
      <w:r>
        <w:rPr>
          <w:rFonts w:ascii="仿宋_GB2312" w:eastAsia="仿宋_GB2312" w:hAnsi="宋体" w:cs="宋体"/>
          <w:b/>
          <w:kern w:val="0"/>
          <w:sz w:val="24"/>
        </w:rPr>
        <w:t>：</w:t>
      </w:r>
      <w:r>
        <w:rPr>
          <w:rFonts w:ascii="仿宋_GB2312" w:eastAsia="仿宋_GB2312" w:hAnsi="宋体" w:cs="宋体" w:hint="eastAsia"/>
          <w:b/>
          <w:kern w:val="0"/>
          <w:sz w:val="24"/>
        </w:rPr>
        <w:t>本系统</w:t>
      </w:r>
      <w:r>
        <w:rPr>
          <w:rFonts w:ascii="仿宋_GB2312" w:eastAsia="仿宋_GB2312" w:hAnsi="宋体" w:cs="宋体"/>
          <w:b/>
          <w:kern w:val="0"/>
          <w:sz w:val="24"/>
        </w:rPr>
        <w:t>需</w:t>
      </w:r>
      <w:r>
        <w:rPr>
          <w:rFonts w:ascii="仿宋_GB2312" w:eastAsia="仿宋_GB2312" w:hAnsi="宋体" w:cs="宋体" w:hint="eastAsia"/>
          <w:b/>
          <w:kern w:val="0"/>
          <w:sz w:val="24"/>
        </w:rPr>
        <w:t>满足医院信创要求</w:t>
      </w:r>
    </w:p>
    <w:p w:rsidR="000864E6" w:rsidRDefault="00FD5FE3">
      <w:pPr>
        <w:spacing w:line="360" w:lineRule="auto"/>
        <w:ind w:firstLineChars="200" w:firstLine="482"/>
      </w:pPr>
      <w:r>
        <w:rPr>
          <w:rFonts w:ascii="仿宋_GB2312" w:eastAsia="仿宋_GB2312" w:hAnsi="宋体" w:cs="宋体" w:hint="eastAsia"/>
          <w:b/>
          <w:kern w:val="0"/>
          <w:sz w:val="24"/>
        </w:rPr>
        <w:t>系统部署须满足医院的信创要求，支持基于国产操作系统部署，支持金仓、达梦等国产数据库。</w:t>
      </w:r>
    </w:p>
    <w:p w:rsidR="000864E6" w:rsidRDefault="00FD5FE3">
      <w:pPr>
        <w:pStyle w:val="2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四、项目</w:t>
      </w:r>
      <w:r>
        <w:rPr>
          <w:rFonts w:ascii="仿宋" w:eastAsia="仿宋" w:hAnsi="仿宋"/>
        </w:rPr>
        <w:t>预算：49</w:t>
      </w:r>
      <w:r>
        <w:rPr>
          <w:rFonts w:ascii="仿宋" w:eastAsia="仿宋" w:hAnsi="仿宋" w:hint="eastAsia"/>
        </w:rPr>
        <w:t>万元</w:t>
      </w:r>
    </w:p>
    <w:tbl>
      <w:tblPr>
        <w:tblW w:w="3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3938"/>
        <w:gridCol w:w="1665"/>
      </w:tblGrid>
      <w:tr w:rsidR="000864E6">
        <w:trPr>
          <w:trHeight w:val="432"/>
        </w:trPr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4E6" w:rsidRDefault="00FD5FE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  <w:lang w:val="zh-CN"/>
              </w:rPr>
              <w:t>序号</w:t>
            </w:r>
          </w:p>
        </w:tc>
        <w:tc>
          <w:tcPr>
            <w:tcW w:w="30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4E6" w:rsidRDefault="00FD5FE3">
            <w:pPr>
              <w:widowControl/>
              <w:wordWrap w:val="0"/>
              <w:ind w:firstLine="42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  <w:lang w:val="zh-CN"/>
              </w:rPr>
              <w:t>产品名称</w:t>
            </w:r>
          </w:p>
        </w:tc>
        <w:tc>
          <w:tcPr>
            <w:tcW w:w="12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4E6" w:rsidRDefault="00FD5FE3">
            <w:pPr>
              <w:widowControl/>
              <w:wordWrap w:val="0"/>
              <w:ind w:firstLine="42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  <w:lang w:val="zh-CN"/>
              </w:rPr>
              <w:t>数量</w:t>
            </w:r>
          </w:p>
        </w:tc>
      </w:tr>
      <w:tr w:rsidR="000864E6">
        <w:trPr>
          <w:trHeight w:val="549"/>
        </w:trPr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4E6" w:rsidRDefault="00FD5FE3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  <w:lang w:val="zh-CN"/>
              </w:rPr>
              <w:t>1</w:t>
            </w:r>
          </w:p>
        </w:tc>
        <w:tc>
          <w:tcPr>
            <w:tcW w:w="30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4E6" w:rsidRDefault="00FD5FE3">
            <w:pPr>
              <w:widowControl/>
              <w:wordWrap w:val="0"/>
              <w:ind w:firstLine="42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  <w:lang w:val="zh-CN"/>
              </w:rPr>
              <w:t>基于CN-DRG的医疗质量管控分析系统</w:t>
            </w:r>
          </w:p>
        </w:tc>
        <w:tc>
          <w:tcPr>
            <w:tcW w:w="12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4E6" w:rsidRDefault="00FD5FE3">
            <w:pPr>
              <w:widowControl/>
              <w:wordWrap w:val="0"/>
              <w:ind w:firstLine="42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  <w:lang w:val="zh-CN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  <w:lang w:val="zh-CN"/>
              </w:rPr>
              <w:t>1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  <w:lang w:val="zh-CN"/>
              </w:rPr>
              <w:t>套</w:t>
            </w:r>
          </w:p>
        </w:tc>
      </w:tr>
    </w:tbl>
    <w:p w:rsidR="000864E6" w:rsidRDefault="000864E6"/>
    <w:sectPr w:rsidR="00086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1C3" w:rsidRDefault="00E861C3" w:rsidP="00C67FA3">
      <w:r>
        <w:separator/>
      </w:r>
    </w:p>
  </w:endnote>
  <w:endnote w:type="continuationSeparator" w:id="0">
    <w:p w:rsidR="00E861C3" w:rsidRDefault="00E861C3" w:rsidP="00C6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1C3" w:rsidRDefault="00E861C3" w:rsidP="00C67FA3">
      <w:r>
        <w:separator/>
      </w:r>
    </w:p>
  </w:footnote>
  <w:footnote w:type="continuationSeparator" w:id="0">
    <w:p w:rsidR="00E861C3" w:rsidRDefault="00E861C3" w:rsidP="00C67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E4E626"/>
    <w:multiLevelType w:val="singleLevel"/>
    <w:tmpl w:val="B0E4E62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CA66E27"/>
    <w:multiLevelType w:val="multilevel"/>
    <w:tmpl w:val="BCA66E27"/>
    <w:lvl w:ilvl="0">
      <w:start w:val="1"/>
      <w:numFmt w:val="chineseCounting"/>
      <w:lvlText w:val="%1.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  <w:b/>
        <w:sz w:val="28"/>
        <w:szCs w:val="28"/>
      </w:rPr>
    </w:lvl>
    <w:lvl w:ilvl="1">
      <w:start w:val="1"/>
      <w:numFmt w:val="decimal"/>
      <w:isLgl/>
      <w:lvlText w:val="%2.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</w:rPr>
    </w:lvl>
    <w:lvl w:ilvl="2">
      <w:start w:val="1"/>
      <w:numFmt w:val="decimal"/>
      <w:isLgl/>
      <w:lvlText w:val="%2.%3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</w:rPr>
    </w:lvl>
    <w:lvl w:ilvl="3">
      <w:start w:val="1"/>
      <w:numFmt w:val="decimal"/>
      <w:isLgl/>
      <w:lvlText w:val="%2.%3.%4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</w:rPr>
    </w:lvl>
    <w:lvl w:ilvl="4">
      <w:start w:val="1"/>
      <w:numFmt w:val="decimal"/>
      <w:pStyle w:val="5"/>
      <w:lvlText w:val="（%5）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</w:rPr>
    </w:lvl>
    <w:lvl w:ilvl="5">
      <w:start w:val="1"/>
      <w:numFmt w:val="decimalEnclosedCircleChinese"/>
      <w:lvlText w:val="%6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</w:rPr>
    </w:lvl>
    <w:lvl w:ilvl="6">
      <w:start w:val="1"/>
      <w:numFmt w:val="upperLetter"/>
      <w:lvlText w:val="%7."/>
      <w:lvlJc w:val="left"/>
      <w:pPr>
        <w:ind w:left="1296" w:hanging="1296"/>
      </w:pPr>
      <w:rPr>
        <w:rFonts w:ascii="宋体" w:eastAsia="宋体" w:hAnsi="宋体" w:cs="宋体"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2" w15:restartNumberingAfterBreak="0">
    <w:nsid w:val="DCDF35D4"/>
    <w:multiLevelType w:val="singleLevel"/>
    <w:tmpl w:val="DCDF35D4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20A08C83"/>
    <w:multiLevelType w:val="singleLevel"/>
    <w:tmpl w:val="20A08C8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607B1E67"/>
    <w:multiLevelType w:val="multilevel"/>
    <w:tmpl w:val="607B1E67"/>
    <w:lvl w:ilvl="0">
      <w:start w:val="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1ZWFhMTg4YjdjMTcyNDNiYzAwNGY1MTRlNGQyZTUifQ=="/>
  </w:docVars>
  <w:rsids>
    <w:rsidRoot w:val="3A2F2768"/>
    <w:rsid w:val="00007FD4"/>
    <w:rsid w:val="00020824"/>
    <w:rsid w:val="00026B69"/>
    <w:rsid w:val="000849B0"/>
    <w:rsid w:val="00085B2A"/>
    <w:rsid w:val="000864E6"/>
    <w:rsid w:val="000B56BE"/>
    <w:rsid w:val="000C5F4A"/>
    <w:rsid w:val="001767BD"/>
    <w:rsid w:val="001812E0"/>
    <w:rsid w:val="001A5B88"/>
    <w:rsid w:val="001B540C"/>
    <w:rsid w:val="00242918"/>
    <w:rsid w:val="00262B1D"/>
    <w:rsid w:val="002B6B47"/>
    <w:rsid w:val="002D6053"/>
    <w:rsid w:val="002D7C69"/>
    <w:rsid w:val="0030192D"/>
    <w:rsid w:val="004116AD"/>
    <w:rsid w:val="0049479B"/>
    <w:rsid w:val="004A4353"/>
    <w:rsid w:val="004E2AE8"/>
    <w:rsid w:val="004F7EF6"/>
    <w:rsid w:val="00504A31"/>
    <w:rsid w:val="00504E1D"/>
    <w:rsid w:val="00522A0F"/>
    <w:rsid w:val="00594140"/>
    <w:rsid w:val="005A0DBB"/>
    <w:rsid w:val="005A39CD"/>
    <w:rsid w:val="005D2A66"/>
    <w:rsid w:val="005E1C33"/>
    <w:rsid w:val="005E6218"/>
    <w:rsid w:val="005F7740"/>
    <w:rsid w:val="00616723"/>
    <w:rsid w:val="00626283"/>
    <w:rsid w:val="006378AA"/>
    <w:rsid w:val="006531AC"/>
    <w:rsid w:val="00660C17"/>
    <w:rsid w:val="0067097A"/>
    <w:rsid w:val="0068018B"/>
    <w:rsid w:val="0068287A"/>
    <w:rsid w:val="00695D5D"/>
    <w:rsid w:val="006D45B0"/>
    <w:rsid w:val="007056CB"/>
    <w:rsid w:val="0071498B"/>
    <w:rsid w:val="00735DE1"/>
    <w:rsid w:val="007538BD"/>
    <w:rsid w:val="00775689"/>
    <w:rsid w:val="007866B7"/>
    <w:rsid w:val="00796E29"/>
    <w:rsid w:val="007B2064"/>
    <w:rsid w:val="00815134"/>
    <w:rsid w:val="00847D82"/>
    <w:rsid w:val="008515C5"/>
    <w:rsid w:val="008A64BD"/>
    <w:rsid w:val="008D6DC0"/>
    <w:rsid w:val="008E1C00"/>
    <w:rsid w:val="008E60B7"/>
    <w:rsid w:val="0091275C"/>
    <w:rsid w:val="00913836"/>
    <w:rsid w:val="00914881"/>
    <w:rsid w:val="00943B26"/>
    <w:rsid w:val="00972578"/>
    <w:rsid w:val="00997F17"/>
    <w:rsid w:val="009D6DEF"/>
    <w:rsid w:val="00A13066"/>
    <w:rsid w:val="00A429D0"/>
    <w:rsid w:val="00A535AE"/>
    <w:rsid w:val="00A651AD"/>
    <w:rsid w:val="00A75582"/>
    <w:rsid w:val="00AA2DC1"/>
    <w:rsid w:val="00B5089D"/>
    <w:rsid w:val="00B6574D"/>
    <w:rsid w:val="00BD7CC7"/>
    <w:rsid w:val="00BF507C"/>
    <w:rsid w:val="00C67FA3"/>
    <w:rsid w:val="00C80664"/>
    <w:rsid w:val="00CE2FEA"/>
    <w:rsid w:val="00D27D93"/>
    <w:rsid w:val="00D5048D"/>
    <w:rsid w:val="00D575AD"/>
    <w:rsid w:val="00D81330"/>
    <w:rsid w:val="00D82309"/>
    <w:rsid w:val="00DA78B7"/>
    <w:rsid w:val="00DB3BE5"/>
    <w:rsid w:val="00E212EC"/>
    <w:rsid w:val="00E861C3"/>
    <w:rsid w:val="00EB6A03"/>
    <w:rsid w:val="00EE5FC4"/>
    <w:rsid w:val="00F02EB0"/>
    <w:rsid w:val="00F10D47"/>
    <w:rsid w:val="00F32B3C"/>
    <w:rsid w:val="00F94AA0"/>
    <w:rsid w:val="00FA6002"/>
    <w:rsid w:val="00FC0BFC"/>
    <w:rsid w:val="00FD5FE3"/>
    <w:rsid w:val="01160D24"/>
    <w:rsid w:val="05F15C14"/>
    <w:rsid w:val="0A8D4373"/>
    <w:rsid w:val="0ED613A6"/>
    <w:rsid w:val="0FD520CA"/>
    <w:rsid w:val="2BDD0222"/>
    <w:rsid w:val="3A2F2768"/>
    <w:rsid w:val="4E5C3015"/>
    <w:rsid w:val="4E7F0CFD"/>
    <w:rsid w:val="5C534035"/>
    <w:rsid w:val="5DC401FD"/>
    <w:rsid w:val="60B73718"/>
    <w:rsid w:val="61BC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859672"/>
  <w15:docId w15:val="{CEFD3A76-5B18-44F0-AE3A-2F7DADEF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0"/>
    <w:autoRedefine/>
    <w:unhideWhenUsed/>
    <w:qFormat/>
    <w:pPr>
      <w:numPr>
        <w:ilvl w:val="4"/>
        <w:numId w:val="1"/>
      </w:numPr>
      <w:spacing w:line="360" w:lineRule="auto"/>
      <w:outlineLvl w:val="4"/>
    </w:pPr>
    <w:rPr>
      <w:rFonts w:asciiTheme="minorHAnsi" w:hAnsi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semiHidden/>
    <w:unhideWhenUsed/>
    <w:qFormat/>
    <w:pPr>
      <w:spacing w:after="120"/>
    </w:p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qFormat/>
    <w:rPr>
      <w:rFonts w:asciiTheme="minorHAnsi" w:eastAsiaTheme="minorEastAsia" w:hAnsiTheme="minorHAnsi" w:cstheme="minorBidi"/>
      <w:sz w:val="24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Char">
    <w:name w:val="普通(网站) Char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b">
    <w:name w:val="List Paragraph"/>
    <w:basedOn w:val="a"/>
    <w:link w:val="ac"/>
    <w:autoRedefine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c">
    <w:name w:val="列出段落 字符"/>
    <w:link w:val="ab"/>
    <w:autoRedefine/>
    <w:uiPriority w:val="34"/>
    <w:qFormat/>
    <w:rPr>
      <w:kern w:val="2"/>
      <w:sz w:val="21"/>
      <w:szCs w:val="22"/>
    </w:rPr>
  </w:style>
  <w:style w:type="character" w:customStyle="1" w:styleId="a4">
    <w:name w:val="正文文本 字符"/>
    <w:basedOn w:val="a0"/>
    <w:link w:val="a3"/>
    <w:autoRedefine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50">
    <w:name w:val="标题 5 字符"/>
    <w:basedOn w:val="a0"/>
    <w:link w:val="5"/>
    <w:autoRedefine/>
    <w:qFormat/>
    <w:rPr>
      <w:rFonts w:eastAsia="宋体" w:cs="Times New Roman"/>
      <w:kern w:val="2"/>
      <w:sz w:val="24"/>
      <w:szCs w:val="24"/>
    </w:rPr>
  </w:style>
  <w:style w:type="paragraph" w:customStyle="1" w:styleId="11">
    <w:name w:val="正文1"/>
    <w:basedOn w:val="a"/>
    <w:next w:val="a"/>
    <w:autoRedefine/>
    <w:qFormat/>
    <w:pPr>
      <w:spacing w:line="318" w:lineRule="atLeast"/>
      <w:ind w:left="369" w:firstLine="369"/>
    </w:pPr>
    <w:rPr>
      <w:rFonts w:ascii="宋体"/>
    </w:rPr>
  </w:style>
  <w:style w:type="character" w:customStyle="1" w:styleId="10">
    <w:name w:val="标题 1 字符"/>
    <w:basedOn w:val="a0"/>
    <w:link w:val="1"/>
    <w:autoRedefine/>
    <w:qFormat/>
    <w:rPr>
      <w:b/>
      <w:kern w:val="44"/>
      <w:sz w:val="44"/>
    </w:rPr>
  </w:style>
  <w:style w:type="paragraph" w:customStyle="1" w:styleId="U2">
    <w:name w:val="U_正文2"/>
    <w:basedOn w:val="a"/>
    <w:autoRedefine/>
    <w:qFormat/>
    <w:pPr>
      <w:spacing w:beforeLines="10" w:before="10" w:afterLines="10" w:after="10" w:line="300" w:lineRule="auto"/>
    </w:pPr>
    <w:rPr>
      <w:sz w:val="24"/>
    </w:rPr>
  </w:style>
  <w:style w:type="paragraph" w:customStyle="1" w:styleId="15">
    <w:name w:val="样式 五号 行距: 1.5 倍行距"/>
    <w:basedOn w:val="a"/>
    <w:autoRedefine/>
    <w:qFormat/>
    <w:pPr>
      <w:spacing w:beforeLines="50" w:afterLines="50" w:line="360" w:lineRule="auto"/>
      <w:ind w:firstLineChars="200" w:firstLine="200"/>
      <w:jc w:val="left"/>
    </w:pPr>
    <w:rPr>
      <w:rFonts w:ascii="宋体" w:cs="宋体"/>
      <w:kern w:val="0"/>
      <w:szCs w:val="20"/>
    </w:rPr>
  </w:style>
  <w:style w:type="character" w:customStyle="1" w:styleId="apple-style-span">
    <w:name w:val="apple-style-span"/>
    <w:basedOn w:val="a0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471</Words>
  <Characters>2688</Characters>
  <Application>Microsoft Office Word</Application>
  <DocSecurity>0</DocSecurity>
  <Lines>22</Lines>
  <Paragraphs>6</Paragraphs>
  <ScaleCrop>false</ScaleCrop>
  <Company>Microsoft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张琳</dc:creator>
  <cp:lastModifiedBy>曹迎春</cp:lastModifiedBy>
  <cp:revision>5</cp:revision>
  <dcterms:created xsi:type="dcterms:W3CDTF">2024-11-07T01:19:00Z</dcterms:created>
  <dcterms:modified xsi:type="dcterms:W3CDTF">2024-11-07T07:02:00Z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26FC910707EC4140937612E0ACF31948_13</vt:lpwstr>
  </property>
</Properties>
</file>