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256A3111">
      <w:pPr>
        <w:pStyle w:val="58"/>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南通市第三人民医院传染病智能检测预警前置软件服务及设备项目</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both"/>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5169DFD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四</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十一月</w:t>
      </w:r>
    </w:p>
    <w:p w14:paraId="716420A6">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7"/>
        <w:keepNext w:val="0"/>
        <w:keepLines w:val="0"/>
        <w:pageBreakBefore w:val="0"/>
        <w:widowControl w:val="0"/>
        <w:kinsoku/>
        <w:wordWrap/>
        <w:topLinePunct w:val="0"/>
        <w:autoSpaceDE/>
        <w:autoSpaceDN/>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5"/>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4"/>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u w:val="single"/>
          <w:lang w:eastAsia="zh-CN"/>
        </w:rPr>
        <w:t>南通市第三人民医院传染病智能检测预警前置软件服务及设备项目</w:t>
      </w:r>
      <w:r>
        <w:rPr>
          <w:rFonts w:hint="eastAsia" w:ascii="Times New Roman" w:hAnsi="Times New Roman" w:eastAsia="宋体" w:cs="Times New Roman"/>
          <w:color w:val="auto"/>
          <w:sz w:val="24"/>
          <w:szCs w:val="24"/>
          <w:highlight w:val="none"/>
        </w:rPr>
        <w:t>的潜在供应商应在</w:t>
      </w:r>
      <w:r>
        <w:rPr>
          <w:rFonts w:hint="eastAsia" w:ascii="Times New Roman" w:hAnsi="Times New Roman" w:eastAsia="宋体" w:cs="Times New Roman"/>
          <w:color w:val="auto"/>
          <w:sz w:val="24"/>
          <w:szCs w:val="24"/>
          <w:highlight w:val="none"/>
          <w:u w:val="single"/>
        </w:rPr>
        <w:t>南通市第三人民医院</w:t>
      </w:r>
      <w:r>
        <w:rPr>
          <w:rFonts w:hint="eastAsia" w:ascii="Times New Roman" w:hAnsi="Times New Roman" w:eastAsia="宋体" w:cs="Times New Roman"/>
          <w:color w:val="auto"/>
          <w:sz w:val="24"/>
          <w:szCs w:val="24"/>
          <w:highlight w:val="none"/>
        </w:rPr>
        <w:t>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SY-HXTDCRB241002</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南通市第三人民医院传染病智能检测预警前置软件服务及设备项目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3、采购</w:t>
      </w:r>
      <w:r>
        <w:rPr>
          <w:rFonts w:hint="eastAsia" w:ascii="Times New Roman" w:hAnsi="Times New Roman" w:eastAsia="宋体" w:cs="宋体"/>
          <w:color w:val="auto"/>
          <w:sz w:val="24"/>
          <w:szCs w:val="24"/>
          <w:highlight w:val="none"/>
          <w:lang w:eastAsia="zh-CN"/>
        </w:rPr>
        <w:t>方式</w:t>
      </w:r>
      <w:r>
        <w:rPr>
          <w:rFonts w:hint="eastAsia" w:ascii="Times New Roman" w:hAnsi="Times New Roman" w:eastAsia="宋体" w:cs="宋体"/>
          <w:color w:val="auto"/>
          <w:sz w:val="24"/>
          <w:szCs w:val="24"/>
          <w:highlight w:val="none"/>
        </w:rPr>
        <w:t xml:space="preserve">：□竞争性谈判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lang w:val="en-US" w:eastAsia="zh-CN"/>
        </w:rPr>
        <w:t>16万</w:t>
      </w:r>
      <w:r>
        <w:rPr>
          <w:rFonts w:hint="eastAsia" w:ascii="Times New Roman" w:hAnsi="Times New Roman" w:eastAsia="宋体" w:cs="宋体"/>
          <w:color w:val="auto"/>
          <w:sz w:val="24"/>
          <w:szCs w:val="24"/>
          <w:highlight w:val="none"/>
        </w:rPr>
        <w:t>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宋体" w:hAnsi="宋体" w:eastAsia="宋体" w:cs="Times New Roman"/>
          <w:b/>
          <w:bCs/>
          <w:color w:val="auto"/>
          <w:sz w:val="24"/>
          <w:highlight w:val="none"/>
          <w:lang w:val="en-US" w:eastAsia="zh-CN"/>
        </w:rPr>
        <w:t>16万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Times New Roman"/>
          <w:color w:val="auto"/>
          <w:sz w:val="24"/>
          <w:szCs w:val="24"/>
          <w:highlight w:val="none"/>
          <w:lang w:eastAsia="zh-CN"/>
        </w:rPr>
        <w:t>南通市第三人民医院传染病智能检测预警前置软件服务及设备项目</w:t>
      </w:r>
      <w:r>
        <w:rPr>
          <w:rFonts w:hint="eastAsia" w:ascii="Times New Roman" w:hAnsi="Times New Roman" w:eastAsia="宋体" w:cs="宋体"/>
          <w:color w:val="auto"/>
          <w:sz w:val="24"/>
          <w:szCs w:val="24"/>
          <w:highlight w:val="none"/>
          <w:lang w:eastAsia="zh-CN"/>
        </w:rPr>
        <w:t>，具体内容详见竞争性磋商文件第三章项目需求。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val="0"/>
          <w:bCs w:val="0"/>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val="0"/>
          <w:bCs w:val="0"/>
          <w:color w:val="auto"/>
          <w:sz w:val="24"/>
          <w:szCs w:val="24"/>
          <w:highlight w:val="none"/>
        </w:rPr>
        <w:t>：合同签订之日起60个工作日内安装调试完成。</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bCs/>
          <w:sz w:val="24"/>
          <w:szCs w:val="24"/>
        </w:rPr>
        <w:t>供应商</w:t>
      </w:r>
      <w:r>
        <w:rPr>
          <w:rFonts w:hint="eastAsia" w:ascii="Times New Roman" w:hAnsi="Times New Roman" w:eastAsia="宋体"/>
          <w:bCs/>
          <w:sz w:val="24"/>
          <w:szCs w:val="24"/>
          <w:lang w:eastAsia="zh-CN"/>
        </w:rPr>
        <w:t>须</w:t>
      </w:r>
      <w:r>
        <w:rPr>
          <w:rFonts w:hint="eastAsia" w:ascii="Times New Roman" w:hAnsi="Times New Roman" w:eastAsia="宋体"/>
          <w:bCs/>
          <w:sz w:val="24"/>
          <w:szCs w:val="24"/>
        </w:rPr>
        <w:t>具有独立承担民事责任的能力</w:t>
      </w:r>
      <w:r>
        <w:rPr>
          <w:rFonts w:hint="eastAsia" w:eastAsia="宋体"/>
          <w:bCs/>
          <w:color w:val="auto"/>
          <w:sz w:val="24"/>
          <w:szCs w:val="24"/>
          <w:highlight w:val="none"/>
        </w:rPr>
        <w:t>，具有有效的营业执照，</w:t>
      </w:r>
      <w:r>
        <w:rPr>
          <w:rFonts w:hint="eastAsia" w:ascii="Times New Roman" w:hAnsi="Times New Roman" w:eastAsia="宋体"/>
          <w:sz w:val="24"/>
          <w:szCs w:val="24"/>
        </w:rPr>
        <w:t>有能力按本</w:t>
      </w:r>
      <w:r>
        <w:rPr>
          <w:rFonts w:hint="eastAsia" w:ascii="Times New Roman" w:hAnsi="Times New Roman" w:eastAsia="宋体"/>
          <w:sz w:val="24"/>
          <w:szCs w:val="24"/>
          <w:lang w:eastAsia="zh-CN"/>
        </w:rPr>
        <w:t>采购</w:t>
      </w:r>
      <w:r>
        <w:rPr>
          <w:rFonts w:hint="eastAsia" w:ascii="Times New Roman" w:hAnsi="Times New Roman" w:eastAsia="宋体"/>
          <w:sz w:val="24"/>
          <w:szCs w:val="24"/>
        </w:rPr>
        <w:t>文件规定的要求提供相关服务</w:t>
      </w:r>
      <w:r>
        <w:rPr>
          <w:rFonts w:hint="eastAsia" w:cs="Arial"/>
          <w:bCs/>
          <w:color w:val="auto"/>
          <w:kern w:val="0"/>
          <w:sz w:val="24"/>
          <w:highlight w:val="none"/>
        </w:rPr>
        <w:t>；</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w:t>
      </w:r>
      <w:r>
        <w:rPr>
          <w:rFonts w:hint="eastAsia" w:ascii="Times New Roman" w:hAnsi="Times New Roman" w:eastAsia="宋体" w:cs="宋体"/>
          <w:b/>
          <w:color w:val="auto"/>
          <w:kern w:val="0"/>
          <w:sz w:val="24"/>
          <w:szCs w:val="24"/>
          <w:highlight w:val="none"/>
          <w:lang w:eastAsia="zh-CN"/>
        </w:rPr>
        <w:t>响应</w:t>
      </w:r>
      <w:r>
        <w:rPr>
          <w:rFonts w:hint="eastAsia" w:ascii="Times New Roman" w:hAnsi="Times New Roman" w:eastAsia="宋体" w:cs="宋体"/>
          <w:b/>
          <w:color w:val="auto"/>
          <w:kern w:val="0"/>
          <w:sz w:val="24"/>
          <w:szCs w:val="24"/>
          <w:highlight w:val="none"/>
        </w:rPr>
        <w:t>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05"/>
      <w:bookmarkStart w:id="3" w:name="_Toc35393793"/>
      <w:bookmarkStart w:id="4" w:name="_Toc35393624"/>
      <w:bookmarkStart w:id="5" w:name="_Toc28359082"/>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4</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19</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35393625"/>
      <w:bookmarkStart w:id="7" w:name="_Toc35393794"/>
      <w:bookmarkStart w:id="8" w:name="_Toc28359084"/>
      <w:bookmarkStart w:id="9" w:name="_Toc28359007"/>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keepNext w:val="0"/>
        <w:keepLines w:val="0"/>
        <w:pageBreakBefore w:val="0"/>
        <w:kinsoku/>
        <w:topLinePunct w:val="0"/>
        <w:autoSpaceDE/>
        <w:autoSpaceDN/>
        <w:bidi w:val="0"/>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keepNext w:val="0"/>
        <w:keepLines w:val="0"/>
        <w:pageBreakBefore w:val="0"/>
        <w:kinsoku/>
        <w:topLinePunct w:val="0"/>
        <w:autoSpaceDE/>
        <w:autoSpaceDN/>
        <w:bidi w:val="0"/>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keepNext w:val="0"/>
        <w:keepLines w:val="0"/>
        <w:pageBreakBefore w:val="0"/>
        <w:kinsoku/>
        <w:topLinePunct w:val="0"/>
        <w:autoSpaceDE/>
        <w:autoSpaceDN/>
        <w:bidi w:val="0"/>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9"/>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4、本项目报价为</w:t>
      </w:r>
      <w:r>
        <w:rPr>
          <w:rFonts w:hint="eastAsia" w:ascii="Times New Roman" w:hAnsi="Times New Roman" w:eastAsia="宋体" w:cs="宋体"/>
          <w:b/>
          <w:bCs/>
          <w:color w:val="auto"/>
          <w:sz w:val="24"/>
          <w:szCs w:val="24"/>
          <w:highlight w:val="none"/>
        </w:rPr>
        <w:t>固定价格</w:t>
      </w:r>
      <w:r>
        <w:rPr>
          <w:rFonts w:hint="eastAsia" w:ascii="Times New Roman" w:hAnsi="Times New Roman" w:eastAsia="宋体" w:cs="宋体"/>
          <w:color w:val="auto"/>
          <w:sz w:val="24"/>
          <w:szCs w:val="24"/>
          <w:highlight w:val="none"/>
        </w:rPr>
        <w:t>报价，供应商应充分考虑服务实施期间各类市场价格和政策性价格调整因素，确定价格风险计入总报价，今后不作调整。（</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报价应包括完成本项目所需的一切费用，包括但不限于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w:t>
      </w:r>
      <w:r>
        <w:rPr>
          <w:rFonts w:hint="eastAsia" w:ascii="Times New Roman" w:cs="仿宋"/>
          <w:color w:val="auto"/>
          <w:sz w:val="24"/>
          <w:szCs w:val="24"/>
          <w:highlight w:val="none"/>
          <w:lang w:eastAsia="zh-CN"/>
        </w:rPr>
        <w:t>执行。</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6581FDD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一、</w:t>
      </w:r>
      <w:r>
        <w:rPr>
          <w:rFonts w:hint="eastAsia" w:ascii="Times New Roman" w:hAnsi="Times New Roman" w:eastAsia="宋体" w:cs="宋体"/>
          <w:b/>
          <w:bCs/>
          <w:color w:val="auto"/>
          <w:szCs w:val="24"/>
          <w:highlight w:val="none"/>
          <w:shd w:val="clear" w:color="auto" w:fill="FFFFFF"/>
        </w:rPr>
        <w:t>采购标的需实现的功能或者目标,以及为落实政府采购政策需满足的要求</w:t>
      </w:r>
    </w:p>
    <w:p w14:paraId="35BA42F5">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加快推动国家传染病智能监测预警前置软件（以下简称前置软件）部署应用，实现医疗机构传染病相关数据自动化交换，提高数据集成、风险识别、智能分析和及时预警能力，国家疾控局组织编制了《国家传染病智能监测预警前置软件服务器软硬件环境配置要求（试行）》，对三级医院前置服务器软硬件运行配置提出了明确要求：CPU采用国产自研CPU，物理核数≥64核，内存≥256GB，SSD存储空间≥1T，配置双网卡，使用麒麟、欧拉、统信等国产操作系统的服务器版，前置软件统一配备了OpenGauss或同等架构的数据库。</w:t>
      </w:r>
    </w:p>
    <w:p w14:paraId="593A208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二、</w:t>
      </w:r>
      <w:r>
        <w:rPr>
          <w:rFonts w:hint="eastAsia" w:ascii="Times New Roman" w:hAnsi="Times New Roman" w:eastAsia="宋体" w:cs="宋体"/>
          <w:b/>
          <w:bCs/>
          <w:color w:val="auto"/>
          <w:szCs w:val="24"/>
          <w:highlight w:val="none"/>
          <w:shd w:val="clear" w:color="auto" w:fill="FFFFFF"/>
        </w:rPr>
        <w:t>采购标的需执行的国家相关标准、行业标准、地方标准或者其他标准、规范</w:t>
      </w:r>
    </w:p>
    <w:p w14:paraId="58EB366E">
      <w:pPr>
        <w:keepNext w:val="0"/>
        <w:keepLines w:val="0"/>
        <w:pageBreakBefore w:val="0"/>
        <w:kinsoku/>
        <w:wordWrap w:val="0"/>
        <w:topLinePunct w:val="0"/>
        <w:autoSpaceDE/>
        <w:autoSpaceDN/>
        <w:bidi w:val="0"/>
        <w:spacing w:line="360" w:lineRule="auto"/>
        <w:ind w:firstLine="480" w:firstLineChars="200"/>
      </w:pPr>
      <w:r>
        <w:rPr>
          <w:rFonts w:hint="eastAsia" w:ascii="宋体" w:hAnsi="宋体" w:cs="宋体"/>
          <w:color w:val="auto"/>
          <w:sz w:val="24"/>
          <w:highlight w:val="none"/>
        </w:rPr>
        <w:t>报价产品的技术标准按国家标准执行，无国家标准的，按行业标准执行，无国家和行业标准的，按企业标准执行；但在招标文件中有特别要求的，按招标文件中规定的要求执行，并且符合相关法律、法规规定的要求。</w:t>
      </w:r>
    </w:p>
    <w:p w14:paraId="4D789948">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三、</w:t>
      </w:r>
      <w:r>
        <w:rPr>
          <w:rFonts w:hint="eastAsia" w:ascii="Times New Roman" w:hAnsi="Times New Roman" w:eastAsia="宋体" w:cs="宋体"/>
          <w:b/>
          <w:bCs/>
          <w:color w:val="auto"/>
          <w:szCs w:val="24"/>
          <w:highlight w:val="none"/>
          <w:shd w:val="clear" w:color="auto" w:fill="FFFFFF"/>
        </w:rPr>
        <w:t>采购标的需满足的质量、安全、技术规格、物理特性等要求</w:t>
      </w:r>
    </w:p>
    <w:p w14:paraId="7F0B2BB1">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前置服务器（核心产品）</w:t>
      </w:r>
    </w:p>
    <w:tbl>
      <w:tblPr>
        <w:tblStyle w:val="2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087"/>
      </w:tblGrid>
      <w:tr w14:paraId="59C7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986" w:type="dxa"/>
            <w:noWrap/>
            <w:vAlign w:val="center"/>
          </w:tcPr>
          <w:p w14:paraId="4F7CC9F5">
            <w:pPr>
              <w:keepNext w:val="0"/>
              <w:keepLines w:val="0"/>
              <w:pageBreakBefore w:val="0"/>
              <w:kinsoku/>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bCs/>
                <w:kern w:val="0"/>
                <w:sz w:val="24"/>
                <w:szCs w:val="24"/>
              </w:rPr>
              <w:t>指标项</w:t>
            </w:r>
          </w:p>
        </w:tc>
        <w:tc>
          <w:tcPr>
            <w:tcW w:w="7087" w:type="dxa"/>
            <w:noWrap/>
            <w:vAlign w:val="center"/>
          </w:tcPr>
          <w:p w14:paraId="6C94FAC0">
            <w:pPr>
              <w:keepNext w:val="0"/>
              <w:keepLines w:val="0"/>
              <w:pageBreakBefore w:val="0"/>
              <w:kinsoku/>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bCs/>
                <w:kern w:val="0"/>
                <w:sz w:val="24"/>
                <w:szCs w:val="24"/>
              </w:rPr>
              <w:t>技术参数要求</w:t>
            </w:r>
          </w:p>
        </w:tc>
      </w:tr>
      <w:tr w14:paraId="4A9E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62134526">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外型</w:t>
            </w:r>
          </w:p>
        </w:tc>
        <w:tc>
          <w:tcPr>
            <w:tcW w:w="7087" w:type="dxa"/>
            <w:noWrap/>
            <w:vAlign w:val="center"/>
          </w:tcPr>
          <w:p w14:paraId="4F4A99F7">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2U机架式服务器，配置原厂导轨、安全面板</w:t>
            </w:r>
          </w:p>
        </w:tc>
      </w:tr>
      <w:tr w14:paraId="3549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986" w:type="dxa"/>
            <w:noWrap/>
            <w:vAlign w:val="center"/>
          </w:tcPr>
          <w:p w14:paraId="277C7AAC">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★处理器</w:t>
            </w:r>
          </w:p>
        </w:tc>
        <w:tc>
          <w:tcPr>
            <w:tcW w:w="7087" w:type="dxa"/>
            <w:noWrap/>
            <w:vAlign w:val="center"/>
          </w:tcPr>
          <w:p w14:paraId="24E6E5E2">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实配≥2颗Hygon G5 7375(2.0GHz/32核)处理器</w:t>
            </w:r>
          </w:p>
        </w:tc>
      </w:tr>
      <w:tr w14:paraId="7AD9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0C6E5103">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★内存</w:t>
            </w:r>
          </w:p>
        </w:tc>
        <w:tc>
          <w:tcPr>
            <w:tcW w:w="7087" w:type="dxa"/>
            <w:noWrap/>
            <w:vAlign w:val="center"/>
          </w:tcPr>
          <w:p w14:paraId="4B268A44">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实配≥256GB 3200MHz DDR4内存，可扩展≥32个内存插槽</w:t>
            </w:r>
          </w:p>
        </w:tc>
      </w:tr>
      <w:tr w14:paraId="20A8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0E22BB85">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★硬盘</w:t>
            </w:r>
          </w:p>
        </w:tc>
        <w:tc>
          <w:tcPr>
            <w:tcW w:w="7087" w:type="dxa"/>
            <w:noWrap/>
            <w:vAlign w:val="center"/>
          </w:tcPr>
          <w:p w14:paraId="5AB057F1">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实配≥2*480G SSD硬盘；</w:t>
            </w:r>
          </w:p>
        </w:tc>
      </w:tr>
      <w:tr w14:paraId="120D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1CE10F4B">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磁盘阵列卡</w:t>
            </w:r>
          </w:p>
        </w:tc>
        <w:tc>
          <w:tcPr>
            <w:tcW w:w="7087" w:type="dxa"/>
            <w:noWrap/>
            <w:vAlign w:val="center"/>
          </w:tcPr>
          <w:p w14:paraId="5FAE2106">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配置独立Raid阵列卡，支持RAID0/1/10/5/6/50/60； </w:t>
            </w:r>
          </w:p>
        </w:tc>
      </w:tr>
      <w:tr w14:paraId="7B65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25226DD4">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▲PCIE插槽</w:t>
            </w:r>
          </w:p>
        </w:tc>
        <w:tc>
          <w:tcPr>
            <w:tcW w:w="7087" w:type="dxa"/>
            <w:noWrap/>
            <w:vAlign w:val="center"/>
          </w:tcPr>
          <w:p w14:paraId="089AFFA6">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支持≥10个PCIe 4.0/3.0 插槽和1个板载OCP3.0插槽，要求提供产品彩页截图；</w:t>
            </w:r>
          </w:p>
        </w:tc>
      </w:tr>
      <w:tr w14:paraId="4245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44078453">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网卡</w:t>
            </w:r>
          </w:p>
        </w:tc>
        <w:tc>
          <w:tcPr>
            <w:tcW w:w="7087" w:type="dxa"/>
            <w:noWrap/>
            <w:vAlign w:val="center"/>
          </w:tcPr>
          <w:p w14:paraId="038BA6BF">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配置≥4个10/100/1000M-BaseT 以太网接口，≥4个万兆光口（含模块）</w:t>
            </w:r>
            <w:r>
              <w:rPr>
                <w:rFonts w:hint="eastAsia" w:ascii="宋体" w:hAnsi="宋体" w:eastAsia="宋体" w:cs="宋体"/>
                <w:sz w:val="24"/>
                <w:szCs w:val="24"/>
              </w:rPr>
              <w:t>；</w:t>
            </w:r>
          </w:p>
        </w:tc>
      </w:tr>
      <w:tr w14:paraId="6E04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7B0ED457">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▲GPU</w:t>
            </w:r>
          </w:p>
        </w:tc>
        <w:tc>
          <w:tcPr>
            <w:tcW w:w="7087" w:type="dxa"/>
            <w:noWrap/>
            <w:vAlign w:val="center"/>
          </w:tcPr>
          <w:p w14:paraId="6B490E68">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支持≥3块双宽或者8块GPU卡，要求提供产品彩页截图；</w:t>
            </w:r>
          </w:p>
        </w:tc>
      </w:tr>
      <w:tr w14:paraId="611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22D33FE2">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★冗余性</w:t>
            </w:r>
          </w:p>
        </w:tc>
        <w:tc>
          <w:tcPr>
            <w:tcW w:w="7087" w:type="dxa"/>
            <w:noWrap/>
            <w:vAlign w:val="center"/>
          </w:tcPr>
          <w:p w14:paraId="3B9F650D">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实配≥2个800W电源，实配≥6个热插拔N+1冗余风扇模组</w:t>
            </w:r>
          </w:p>
        </w:tc>
      </w:tr>
      <w:tr w14:paraId="410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06AC69D6">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设备稳定性</w:t>
            </w:r>
          </w:p>
        </w:tc>
        <w:tc>
          <w:tcPr>
            <w:tcW w:w="7087" w:type="dxa"/>
            <w:noWrap/>
            <w:vAlign w:val="center"/>
          </w:tcPr>
          <w:p w14:paraId="3355718C">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设备静电放电抗扰度、电磁场辐射抗扰度、连续波传导抗扰度、工频磁场抗扰度、浪涌抗扰度、脉冲群抗扰度等全部需经过中国计量认证CMA或中国合格评定国家认可委员会CNAS认可的检测机构检测，要求测试达到A级，</w:t>
            </w:r>
            <w:r>
              <w:rPr>
                <w:rFonts w:hint="eastAsia" w:ascii="宋体" w:hAnsi="宋体" w:eastAsia="宋体" w:cs="宋体"/>
                <w:bCs/>
                <w:sz w:val="24"/>
                <w:szCs w:val="24"/>
                <w:lang w:eastAsia="zh-CN"/>
              </w:rPr>
              <w:t>响应</w:t>
            </w:r>
            <w:r>
              <w:rPr>
                <w:rFonts w:hint="eastAsia" w:ascii="宋体" w:hAnsi="宋体" w:eastAsia="宋体" w:cs="宋体"/>
                <w:bCs/>
                <w:sz w:val="24"/>
                <w:szCs w:val="24"/>
              </w:rPr>
              <w:t>时提供中国计量认证CMA或中国合格评定国家认可委员会CNAS认可的检测机构出具的测试报告复印件</w:t>
            </w:r>
          </w:p>
        </w:tc>
      </w:tr>
      <w:tr w14:paraId="5F7C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4B801E78">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兼容性</w:t>
            </w:r>
          </w:p>
        </w:tc>
        <w:tc>
          <w:tcPr>
            <w:tcW w:w="7087" w:type="dxa"/>
            <w:noWrap/>
            <w:vAlign w:val="center"/>
          </w:tcPr>
          <w:p w14:paraId="0CB4F018">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支持Windows，SLES，RHEL 操作系统，支持Vmware，Citrix虚拟化软件。</w:t>
            </w:r>
          </w:p>
        </w:tc>
      </w:tr>
      <w:tr w14:paraId="08BC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447BD2EB">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环境温度</w:t>
            </w:r>
          </w:p>
        </w:tc>
        <w:tc>
          <w:tcPr>
            <w:tcW w:w="7087" w:type="dxa"/>
            <w:noWrap/>
            <w:vAlign w:val="center"/>
          </w:tcPr>
          <w:p w14:paraId="45A5DC13">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长期工作环境温度支持5-45度。</w:t>
            </w:r>
          </w:p>
        </w:tc>
      </w:tr>
      <w:tr w14:paraId="3BD1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6" w:type="dxa"/>
            <w:noWrap/>
            <w:vAlign w:val="center"/>
          </w:tcPr>
          <w:p w14:paraId="7C6C1092">
            <w:pPr>
              <w:keepNext w:val="0"/>
              <w:keepLines w:val="0"/>
              <w:pageBreakBefore w:val="0"/>
              <w:kinsoku/>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可管理性</w:t>
            </w:r>
          </w:p>
        </w:tc>
        <w:tc>
          <w:tcPr>
            <w:tcW w:w="7087" w:type="dxa"/>
            <w:noWrap/>
            <w:vAlign w:val="center"/>
          </w:tcPr>
          <w:p w14:paraId="46990E27">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配置≥1Gb独立的远程管理控制端口，配置虚拟KVM功能, 可实现远程的开机、关机、重启、更新Firmware、虚拟光驱、虚拟文件夹等操作，提供服务器健康日记、服务器控制台录屏/回放功能，能够提供电源监控；</w:t>
            </w:r>
          </w:p>
        </w:tc>
      </w:tr>
    </w:tbl>
    <w:p w14:paraId="1D08AF84">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2、国产服务器虚拟化软件</w:t>
      </w:r>
    </w:p>
    <w:tbl>
      <w:tblPr>
        <w:tblStyle w:val="25"/>
        <w:tblW w:w="9067" w:type="dxa"/>
        <w:jc w:val="center"/>
        <w:tblLayout w:type="autofit"/>
        <w:tblCellMar>
          <w:top w:w="0" w:type="dxa"/>
          <w:left w:w="108" w:type="dxa"/>
          <w:bottom w:w="0" w:type="dxa"/>
          <w:right w:w="108" w:type="dxa"/>
        </w:tblCellMar>
      </w:tblPr>
      <w:tblGrid>
        <w:gridCol w:w="1555"/>
        <w:gridCol w:w="7512"/>
      </w:tblGrid>
      <w:tr w14:paraId="611FD714">
        <w:tblPrEx>
          <w:tblCellMar>
            <w:top w:w="0" w:type="dxa"/>
            <w:left w:w="108" w:type="dxa"/>
            <w:bottom w:w="0" w:type="dxa"/>
            <w:right w:w="108" w:type="dxa"/>
          </w:tblCellMar>
        </w:tblPrEx>
        <w:trPr>
          <w:trHeight w:val="26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5A4C6F5E">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指标项</w:t>
            </w:r>
          </w:p>
        </w:tc>
        <w:tc>
          <w:tcPr>
            <w:tcW w:w="7512" w:type="dxa"/>
            <w:tcBorders>
              <w:top w:val="single" w:color="000000" w:sz="4" w:space="0"/>
              <w:left w:val="single" w:color="000000" w:sz="4" w:space="0"/>
              <w:bottom w:val="single" w:color="000000" w:sz="4" w:space="0"/>
              <w:right w:val="single" w:color="000000" w:sz="4" w:space="0"/>
            </w:tcBorders>
            <w:vAlign w:val="center"/>
          </w:tcPr>
          <w:p w14:paraId="12909350">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技术参数要求</w:t>
            </w:r>
          </w:p>
        </w:tc>
      </w:tr>
      <w:tr w14:paraId="409B03E2">
        <w:tblPrEx>
          <w:tblCellMar>
            <w:top w:w="0" w:type="dxa"/>
            <w:left w:w="108" w:type="dxa"/>
            <w:bottom w:w="0" w:type="dxa"/>
            <w:right w:w="108" w:type="dxa"/>
          </w:tblCellMar>
        </w:tblPrEx>
        <w:trPr>
          <w:trHeight w:val="52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58C3C4A7">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品牌</w:t>
            </w:r>
          </w:p>
        </w:tc>
        <w:tc>
          <w:tcPr>
            <w:tcW w:w="7512" w:type="dxa"/>
            <w:tcBorders>
              <w:top w:val="single" w:color="000000" w:sz="4" w:space="0"/>
              <w:left w:val="single" w:color="000000" w:sz="4" w:space="0"/>
              <w:bottom w:val="single" w:color="000000" w:sz="4" w:space="0"/>
              <w:right w:val="single" w:color="000000" w:sz="4" w:space="0"/>
            </w:tcBorders>
            <w:vAlign w:val="bottom"/>
          </w:tcPr>
          <w:p w14:paraId="35298697">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Style w:val="76"/>
                <w:rFonts w:hint="eastAsia" w:ascii="宋体" w:hAnsi="宋体" w:eastAsia="宋体" w:cs="宋体"/>
                <w:sz w:val="24"/>
                <w:szCs w:val="24"/>
                <w:lang w:bidi="ar"/>
              </w:rPr>
              <w:t>所投产品为国产自主研发品牌，须为原厂非</w:t>
            </w:r>
            <w:r>
              <w:rPr>
                <w:rStyle w:val="77"/>
                <w:rFonts w:hint="eastAsia" w:ascii="宋体" w:hAnsi="宋体" w:eastAsia="宋体" w:cs="宋体"/>
                <w:sz w:val="24"/>
                <w:szCs w:val="24"/>
                <w:lang w:bidi="ar"/>
              </w:rPr>
              <w:t>OEM</w:t>
            </w:r>
            <w:r>
              <w:rPr>
                <w:rStyle w:val="76"/>
                <w:rFonts w:hint="eastAsia" w:ascii="宋体" w:hAnsi="宋体" w:eastAsia="宋体" w:cs="宋体"/>
                <w:sz w:val="24"/>
                <w:szCs w:val="24"/>
                <w:lang w:bidi="ar"/>
              </w:rPr>
              <w:t>的产品具有软件著作权证书。</w:t>
            </w:r>
          </w:p>
        </w:tc>
      </w:tr>
      <w:tr w14:paraId="331684D2">
        <w:tblPrEx>
          <w:tblCellMar>
            <w:top w:w="0" w:type="dxa"/>
            <w:left w:w="108" w:type="dxa"/>
            <w:bottom w:w="0" w:type="dxa"/>
            <w:right w:w="108" w:type="dxa"/>
          </w:tblCellMar>
        </w:tblPrEx>
        <w:trPr>
          <w:trHeight w:val="78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EA29063">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授权数量</w:t>
            </w:r>
          </w:p>
        </w:tc>
        <w:tc>
          <w:tcPr>
            <w:tcW w:w="7512" w:type="dxa"/>
            <w:tcBorders>
              <w:top w:val="single" w:color="000000" w:sz="4" w:space="0"/>
              <w:left w:val="single" w:color="000000" w:sz="4" w:space="0"/>
              <w:bottom w:val="single" w:color="000000" w:sz="4" w:space="0"/>
              <w:right w:val="single" w:color="000000" w:sz="4" w:space="0"/>
            </w:tcBorders>
            <w:vAlign w:val="center"/>
          </w:tcPr>
          <w:p w14:paraId="18590801">
            <w:pPr>
              <w:keepNext w:val="0"/>
              <w:keepLines w:val="0"/>
              <w:pageBreakBefore w:val="0"/>
              <w:widowControl/>
              <w:kinsoku/>
              <w:topLinePunct w:val="0"/>
              <w:autoSpaceDE/>
              <w:autoSpaceDN/>
              <w:bidi w:val="0"/>
              <w:adjustRightInd w:val="0"/>
              <w:snapToGrid w:val="0"/>
              <w:spacing w:line="360" w:lineRule="auto"/>
              <w:textAlignment w:val="bottom"/>
              <w:rPr>
                <w:rFonts w:hint="eastAsia" w:ascii="宋体" w:hAnsi="宋体" w:eastAsia="宋体" w:cs="宋体"/>
                <w:color w:val="000000"/>
                <w:sz w:val="24"/>
                <w:szCs w:val="24"/>
              </w:rPr>
            </w:pPr>
            <w:r>
              <w:rPr>
                <w:rStyle w:val="76"/>
                <w:rFonts w:hint="eastAsia" w:ascii="宋体" w:hAnsi="宋体" w:eastAsia="宋体" w:cs="宋体"/>
                <w:sz w:val="24"/>
                <w:szCs w:val="24"/>
                <w:lang w:bidi="ar"/>
              </w:rPr>
              <w:t>配置不少于</w:t>
            </w:r>
            <w:r>
              <w:rPr>
                <w:rStyle w:val="76"/>
                <w:rFonts w:hint="eastAsia" w:ascii="宋体" w:hAnsi="宋体" w:eastAsia="宋体" w:cs="宋体"/>
                <w:sz w:val="24"/>
                <w:szCs w:val="24"/>
              </w:rPr>
              <w:t>2</w:t>
            </w:r>
            <w:r>
              <w:rPr>
                <w:rStyle w:val="76"/>
                <w:rFonts w:hint="eastAsia" w:ascii="宋体" w:hAnsi="宋体" w:eastAsia="宋体" w:cs="宋体"/>
                <w:sz w:val="24"/>
                <w:szCs w:val="24"/>
                <w:lang w:bidi="ar"/>
              </w:rPr>
              <w:t>颗物理</w:t>
            </w:r>
            <w:r>
              <w:rPr>
                <w:rStyle w:val="76"/>
                <w:rFonts w:hint="eastAsia" w:ascii="宋体" w:hAnsi="宋体" w:eastAsia="宋体" w:cs="宋体"/>
                <w:sz w:val="24"/>
                <w:szCs w:val="24"/>
              </w:rPr>
              <w:t>CPU</w:t>
            </w:r>
            <w:r>
              <w:rPr>
                <w:rStyle w:val="76"/>
                <w:rFonts w:hint="eastAsia" w:ascii="宋体" w:hAnsi="宋体" w:eastAsia="宋体" w:cs="宋体"/>
                <w:sz w:val="24"/>
                <w:szCs w:val="24"/>
                <w:lang w:bidi="ar"/>
              </w:rPr>
              <w:t>授权，授权包含计算虚拟化，网络虚拟化等功能模块，提供三年质保服务。</w:t>
            </w:r>
          </w:p>
        </w:tc>
      </w:tr>
      <w:tr w14:paraId="495F2AB2">
        <w:tblPrEx>
          <w:tblCellMar>
            <w:top w:w="0" w:type="dxa"/>
            <w:left w:w="108" w:type="dxa"/>
            <w:bottom w:w="0" w:type="dxa"/>
            <w:right w:w="108" w:type="dxa"/>
          </w:tblCellMar>
        </w:tblPrEx>
        <w:trPr>
          <w:trHeight w:val="156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1606938">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产品架构</w:t>
            </w:r>
          </w:p>
        </w:tc>
        <w:tc>
          <w:tcPr>
            <w:tcW w:w="7512" w:type="dxa"/>
            <w:tcBorders>
              <w:top w:val="single" w:color="000000" w:sz="4" w:space="0"/>
              <w:left w:val="single" w:color="000000" w:sz="4" w:space="0"/>
              <w:bottom w:val="single" w:color="000000" w:sz="4" w:space="0"/>
              <w:right w:val="single" w:color="000000" w:sz="4" w:space="0"/>
            </w:tcBorders>
            <w:vAlign w:val="bottom"/>
          </w:tcPr>
          <w:p w14:paraId="7A1E6BFE">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Style w:val="76"/>
                <w:rFonts w:hint="eastAsia" w:ascii="宋体" w:hAnsi="宋体" w:eastAsia="宋体" w:cs="宋体"/>
                <w:sz w:val="24"/>
                <w:szCs w:val="24"/>
                <w:lang w:bidi="ar"/>
              </w:rPr>
              <w:t>所投虚拟化产品架构应基于KVM虚拟化路线，提供“虚拟化引擎+虚拟化资源管理平台（非云运营管理/云服务目录）”的架构。产品应保证非采用OpenStack架构或基于OpenStack架构二次开发的云平台，无须借助单独的控制节点、网络节点、VRouter云路由、集群/节点控制器等组件实现计算集群和网络的管理。</w:t>
            </w:r>
          </w:p>
        </w:tc>
      </w:tr>
      <w:tr w14:paraId="1B1A647C">
        <w:tblPrEx>
          <w:tblCellMar>
            <w:top w:w="0" w:type="dxa"/>
            <w:left w:w="108" w:type="dxa"/>
            <w:bottom w:w="0" w:type="dxa"/>
            <w:right w:w="108" w:type="dxa"/>
          </w:tblCellMar>
        </w:tblPrEx>
        <w:trPr>
          <w:trHeight w:val="520" w:hRule="atLeast"/>
          <w:jc w:val="center"/>
        </w:trPr>
        <w:tc>
          <w:tcPr>
            <w:tcW w:w="1555" w:type="dxa"/>
            <w:vMerge w:val="restart"/>
            <w:tcBorders>
              <w:top w:val="single" w:color="000000" w:sz="4" w:space="0"/>
              <w:left w:val="single" w:color="000000" w:sz="4" w:space="0"/>
              <w:bottom w:val="single" w:color="000000" w:sz="4" w:space="0"/>
              <w:right w:val="single" w:color="000000" w:sz="4" w:space="0"/>
            </w:tcBorders>
            <w:noWrap/>
            <w:vAlign w:val="center"/>
          </w:tcPr>
          <w:p w14:paraId="7CBD3762">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虚拟机管理</w:t>
            </w:r>
          </w:p>
        </w:tc>
        <w:tc>
          <w:tcPr>
            <w:tcW w:w="7512" w:type="dxa"/>
            <w:tcBorders>
              <w:top w:val="single" w:color="000000" w:sz="4" w:space="0"/>
              <w:left w:val="single" w:color="000000" w:sz="4" w:space="0"/>
              <w:bottom w:val="single" w:color="000000" w:sz="4" w:space="0"/>
              <w:right w:val="single" w:color="000000" w:sz="4" w:space="0"/>
            </w:tcBorders>
            <w:vAlign w:val="bottom"/>
          </w:tcPr>
          <w:p w14:paraId="22BE35A0">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支持裸金属架构，虚拟化能力广泛兼容国产芯片，包括龙芯、兆芯、飞腾、鲲鹏、海光、申威。</w:t>
            </w:r>
            <w:r>
              <w:rPr>
                <w:rFonts w:hint="eastAsia" w:ascii="宋体" w:hAnsi="宋体" w:eastAsia="宋体" w:cs="宋体"/>
                <w:bCs/>
                <w:kern w:val="0"/>
                <w:sz w:val="24"/>
                <w:szCs w:val="24"/>
                <w:lang w:bidi="ar"/>
              </w:rPr>
              <w:t>（提供所投产品与以上六大国产芯片兼容性互认证证书）。</w:t>
            </w:r>
          </w:p>
        </w:tc>
      </w:tr>
      <w:tr w14:paraId="751E1671">
        <w:tblPrEx>
          <w:tblCellMar>
            <w:top w:w="0" w:type="dxa"/>
            <w:left w:w="108" w:type="dxa"/>
            <w:bottom w:w="0" w:type="dxa"/>
            <w:right w:w="108" w:type="dxa"/>
          </w:tblCellMar>
        </w:tblPrEx>
        <w:trPr>
          <w:trHeight w:val="699"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059D9C32">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76DA5635">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虚拟机生命周期管理操作包括创建、启动、关闭、关闭电源、修改配置、重启、强制重启、休眠、暂停、恢复、挂载安装tools、VNC/SPICE控制台配置、克隆、标签关联、删除等。</w:t>
            </w:r>
          </w:p>
          <w:p w14:paraId="28A8E2DB">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为虚拟机分配CPU、内存、磁盘、光驱、网卡、显卡、鼠标、键盘、写字板、GPU、USB设备、PCI设备、SR-IOV网卡等虚拟硬件；提供回收站管理，回收对象包括虚拟机、虚拟磁盘、虚拟机模板等，资源实例被删除后放置到回收站且允许再次恢复使用或彻底销毁。</w:t>
            </w:r>
          </w:p>
        </w:tc>
      </w:tr>
      <w:tr w14:paraId="19E7A406">
        <w:tblPrEx>
          <w:tblCellMar>
            <w:top w:w="0" w:type="dxa"/>
            <w:left w:w="108" w:type="dxa"/>
            <w:bottom w:w="0" w:type="dxa"/>
            <w:right w:w="108" w:type="dxa"/>
          </w:tblCellMar>
        </w:tblPrEx>
        <w:trPr>
          <w:trHeight w:val="156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47B4BC21">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07799F3D">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高效的计算调度与保护机制，在X86、ARM、LoongArch等架构下能够实现内存资源的超量分配使用，单台宿主机之上的虚拟机内存之和均可大于实际物理内存容量；支持批量对虚拟机在线、离线调整vCPU、内存，包括X86、ARM架构；提供2M/32M/512M/1G等多种内存大页规格和数量配置，提升虚拟机内存访问性能；支持为HostOS、libvirt、OVS等虚拟化管理程序预留内存资源，保障虚拟化平台的稳定性。</w:t>
            </w:r>
          </w:p>
        </w:tc>
      </w:tr>
      <w:tr w14:paraId="193F5AFD">
        <w:tblPrEx>
          <w:tblCellMar>
            <w:top w:w="0" w:type="dxa"/>
            <w:left w:w="108" w:type="dxa"/>
            <w:bottom w:w="0" w:type="dxa"/>
            <w:right w:w="108" w:type="dxa"/>
          </w:tblCellMar>
        </w:tblPrEx>
        <w:trPr>
          <w:trHeight w:val="52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34D9D56A">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16171412">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提供虚拟机业务组、弹性伸缩、热添加调整策略、虚拟机在线迁移、离线迁移、快照等功能。</w:t>
            </w:r>
          </w:p>
        </w:tc>
      </w:tr>
      <w:tr w14:paraId="1F558794">
        <w:tblPrEx>
          <w:tblCellMar>
            <w:top w:w="0" w:type="dxa"/>
            <w:left w:w="108" w:type="dxa"/>
            <w:bottom w:w="0" w:type="dxa"/>
            <w:right w:w="108" w:type="dxa"/>
          </w:tblCellMar>
        </w:tblPrEx>
        <w:trPr>
          <w:trHeight w:val="693"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17EF74C0">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613410D6">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虚拟机在线迁移、离线迁移。提供仅迁移计算、仅迁移存储、整机迁移等多种迁移方式，同时支持虚拟机跨存储池类型迁移、跨集群迁移、虚拟机批量迁移。在迁移过程中支持采用密码技术保障迁移过程的保密性。提供查询虚拟机所有的历史迁移日志，包括源主机、目标主机、迁移耗时、时间、是否在线迁移、日志类型、触发类型等信息。</w:t>
            </w:r>
          </w:p>
        </w:tc>
      </w:tr>
      <w:tr w14:paraId="1EA74201">
        <w:tblPrEx>
          <w:tblCellMar>
            <w:top w:w="0" w:type="dxa"/>
            <w:left w:w="108" w:type="dxa"/>
            <w:bottom w:w="0" w:type="dxa"/>
            <w:right w:w="108" w:type="dxa"/>
          </w:tblCellMar>
        </w:tblPrEx>
        <w:trPr>
          <w:trHeight w:val="104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186DB8F1">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1CAEE669">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提供虚拟机配置热添加调整策略，策略包括CPU利用率、内存利用率或组合等衡量因素，允许管理员自定义每次新增、最大新增的配置值。当检测到虚拟机的性能不足时，平台自动依据策略扩展虚拟机配置。</w:t>
            </w:r>
          </w:p>
        </w:tc>
      </w:tr>
      <w:tr w14:paraId="5AE22C09">
        <w:tblPrEx>
          <w:tblCellMar>
            <w:top w:w="0" w:type="dxa"/>
            <w:left w:w="108" w:type="dxa"/>
            <w:bottom w:w="0" w:type="dxa"/>
            <w:right w:w="108" w:type="dxa"/>
          </w:tblCellMar>
        </w:tblPrEx>
        <w:trPr>
          <w:trHeight w:val="130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46F6E738">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43187EBE">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DRS动态资源调整功能，管理员根据业务的负载策略和规划，灵活设置CPU、内存、存储资源利用率的监控阈值、持续时间和间隔，实现主机资源利用率自动均衡；支持DPM电源智能管理，通过持续监测CPU、内存利用率，在触发低阈值时自动关闭回收利用率低的宿主机，触发高阈值时通过网络/IPMI自动唤醒处于睡眠状态的宿主机。</w:t>
            </w:r>
          </w:p>
        </w:tc>
      </w:tr>
      <w:tr w14:paraId="632B5F38">
        <w:tblPrEx>
          <w:tblCellMar>
            <w:top w:w="0" w:type="dxa"/>
            <w:left w:w="108" w:type="dxa"/>
            <w:bottom w:w="0" w:type="dxa"/>
            <w:right w:w="108" w:type="dxa"/>
          </w:tblCellMar>
        </w:tblPrEx>
        <w:trPr>
          <w:trHeight w:val="52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70171069">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7B46EF96">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当虚拟机业务的使用者忘记虚拟机操作系统的密码时，管理员能够通过管理界面修改重置linux、windows虚拟机操作系统的密码且无需重启即可生效。</w:t>
            </w:r>
          </w:p>
        </w:tc>
      </w:tr>
      <w:tr w14:paraId="14BBF404">
        <w:tblPrEx>
          <w:tblCellMar>
            <w:top w:w="0" w:type="dxa"/>
            <w:left w:w="108" w:type="dxa"/>
            <w:bottom w:w="0" w:type="dxa"/>
            <w:right w:w="108" w:type="dxa"/>
          </w:tblCellMar>
        </w:tblPrEx>
        <w:trPr>
          <w:trHeight w:val="104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4510055D">
            <w:pPr>
              <w:keepNext w:val="0"/>
              <w:keepLines w:val="0"/>
              <w:pageBreakBefore w:val="0"/>
              <w:kinsoku/>
              <w:topLinePunct w:val="0"/>
              <w:autoSpaceDE/>
              <w:autoSpaceDN/>
              <w:bidi w:val="0"/>
              <w:adjustRightInd w:val="0"/>
              <w:snapToGrid w:val="0"/>
              <w:spacing w:line="360" w:lineRule="auto"/>
              <w:jc w:val="center"/>
              <w:rPr>
                <w:rFonts w:hint="eastAsia" w:ascii="宋体" w:hAnsi="宋体" w:eastAsia="宋体" w:cs="宋体"/>
                <w:color w:val="000000"/>
                <w:sz w:val="24"/>
                <w:szCs w:val="24"/>
              </w:rPr>
            </w:pPr>
          </w:p>
        </w:tc>
        <w:tc>
          <w:tcPr>
            <w:tcW w:w="7512" w:type="dxa"/>
            <w:tcBorders>
              <w:top w:val="single" w:color="000000" w:sz="4" w:space="0"/>
              <w:left w:val="single" w:color="000000" w:sz="4" w:space="0"/>
              <w:bottom w:val="single" w:color="000000" w:sz="4" w:space="0"/>
              <w:right w:val="single" w:color="000000" w:sz="4" w:space="0"/>
            </w:tcBorders>
            <w:vAlign w:val="bottom"/>
          </w:tcPr>
          <w:p w14:paraId="4029E119">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虚拟化平台性能优化机制，支持NUMA/vNUMA配置、vCPU与物理CPU核心绑定。虚拟机支持分配Strict、Preferred、Interleave等内存策略，通过配置vNUMA向虚拟机操作系统透传呈现虚拟NUMA架构拓扑（提供产品对应功能界面截图）。</w:t>
            </w:r>
          </w:p>
        </w:tc>
      </w:tr>
      <w:tr w14:paraId="0E37DB8D">
        <w:tblPrEx>
          <w:tblCellMar>
            <w:top w:w="0" w:type="dxa"/>
            <w:left w:w="108" w:type="dxa"/>
            <w:bottom w:w="0" w:type="dxa"/>
            <w:right w:w="108" w:type="dxa"/>
          </w:tblCellMar>
        </w:tblPrEx>
        <w:trPr>
          <w:trHeight w:val="520"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14:paraId="391894F7">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主流存储适配</w:t>
            </w:r>
          </w:p>
        </w:tc>
        <w:tc>
          <w:tcPr>
            <w:tcW w:w="7512" w:type="dxa"/>
            <w:tcBorders>
              <w:top w:val="single" w:color="000000" w:sz="4" w:space="0"/>
              <w:left w:val="single" w:color="000000" w:sz="4" w:space="0"/>
              <w:bottom w:val="single" w:color="000000" w:sz="4" w:space="0"/>
              <w:right w:val="single" w:color="000000" w:sz="4" w:space="0"/>
            </w:tcBorders>
            <w:vAlign w:val="bottom"/>
          </w:tcPr>
          <w:p w14:paraId="69450D88">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兼容主流的存储设备、协议和类型，支持包括本地目录、FC SAN、iSCSI SAN、NFS、NVMe、Ceph分布式存储、共享文件系统等存储类型。</w:t>
            </w:r>
          </w:p>
        </w:tc>
      </w:tr>
      <w:tr w14:paraId="3C304905">
        <w:tblPrEx>
          <w:tblCellMar>
            <w:top w:w="0" w:type="dxa"/>
            <w:left w:w="108" w:type="dxa"/>
            <w:bottom w:w="0" w:type="dxa"/>
            <w:right w:w="108" w:type="dxa"/>
          </w:tblCellMar>
        </w:tblPrEx>
        <w:trPr>
          <w:trHeight w:val="780"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14:paraId="5A39CA30">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多路径配置</w:t>
            </w:r>
          </w:p>
        </w:tc>
        <w:tc>
          <w:tcPr>
            <w:tcW w:w="7512" w:type="dxa"/>
            <w:tcBorders>
              <w:top w:val="single" w:color="000000" w:sz="4" w:space="0"/>
              <w:left w:val="single" w:color="000000" w:sz="4" w:space="0"/>
              <w:bottom w:val="single" w:color="000000" w:sz="4" w:space="0"/>
              <w:right w:val="single" w:color="000000" w:sz="4" w:space="0"/>
            </w:tcBorders>
            <w:vAlign w:val="bottom"/>
          </w:tcPr>
          <w:p w14:paraId="72987DE0">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支持管理界面内置多款主流存储设备多路径配置模板（如华为、宏杉、同有等）提供选择，能够开启多路径服务及完成参数配置，减少存储连接和管理压力。</w:t>
            </w:r>
          </w:p>
        </w:tc>
      </w:tr>
      <w:tr w14:paraId="2CAC86B1">
        <w:tblPrEx>
          <w:tblCellMar>
            <w:top w:w="0" w:type="dxa"/>
            <w:left w:w="108" w:type="dxa"/>
            <w:bottom w:w="0" w:type="dxa"/>
            <w:right w:w="108" w:type="dxa"/>
          </w:tblCellMar>
        </w:tblPrEx>
        <w:trPr>
          <w:trHeight w:val="699" w:hRule="atLeast"/>
          <w:jc w:val="center"/>
        </w:trPr>
        <w:tc>
          <w:tcPr>
            <w:tcW w:w="1555" w:type="dxa"/>
            <w:tcBorders>
              <w:top w:val="single" w:color="000000" w:sz="4" w:space="0"/>
              <w:left w:val="single" w:color="000000" w:sz="4" w:space="0"/>
              <w:bottom w:val="single" w:color="000000" w:sz="4" w:space="0"/>
              <w:right w:val="single" w:color="000000" w:sz="4" w:space="0"/>
            </w:tcBorders>
            <w:vAlign w:val="center"/>
          </w:tcPr>
          <w:p w14:paraId="00FAE73A">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虚拟交换机及端口组管理</w:t>
            </w:r>
          </w:p>
        </w:tc>
        <w:tc>
          <w:tcPr>
            <w:tcW w:w="7512" w:type="dxa"/>
            <w:tcBorders>
              <w:top w:val="single" w:color="000000" w:sz="4" w:space="0"/>
              <w:left w:val="single" w:color="000000" w:sz="4" w:space="0"/>
              <w:bottom w:val="single" w:color="000000" w:sz="4" w:space="0"/>
              <w:right w:val="single" w:color="000000" w:sz="4" w:space="0"/>
            </w:tcBorders>
            <w:vAlign w:val="bottom"/>
          </w:tcPr>
          <w:p w14:paraId="30E882E1">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提供标准虚拟交换机、分布式虚拟交换机；支持创建、修改、启动、暂停、删除等操作，管理员可标记为业务网络或存储网络类型；单个虚拟交换机能够支持承载多个基于VLAN ID隔离的端口组（非扁平网络等概念）；支持虚拟端口镜像功能；内置NETflow流量采样发送能力，管理员能通过NetFlow分析软件处理目标IP和端口的流量信息。</w:t>
            </w:r>
          </w:p>
        </w:tc>
      </w:tr>
      <w:tr w14:paraId="220BA1DD">
        <w:tblPrEx>
          <w:tblCellMar>
            <w:top w:w="0" w:type="dxa"/>
            <w:left w:w="108" w:type="dxa"/>
            <w:bottom w:w="0" w:type="dxa"/>
            <w:right w:w="108" w:type="dxa"/>
          </w:tblCellMar>
        </w:tblPrEx>
        <w:trPr>
          <w:trHeight w:val="699"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223EC0D5">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VPC网络</w:t>
            </w:r>
          </w:p>
        </w:tc>
        <w:tc>
          <w:tcPr>
            <w:tcW w:w="7512" w:type="dxa"/>
            <w:tcBorders>
              <w:top w:val="single" w:color="000000" w:sz="4" w:space="0"/>
              <w:left w:val="single" w:color="000000" w:sz="4" w:space="0"/>
              <w:bottom w:val="single" w:color="000000" w:sz="4" w:space="0"/>
              <w:right w:val="single" w:color="000000" w:sz="4" w:space="0"/>
            </w:tcBorders>
            <w:vAlign w:val="bottom"/>
          </w:tcPr>
          <w:p w14:paraId="34AFC4BF">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依赖SDN硬件交换机、不依赖VRouter路由器软件，应当基于openvswitch虚拟交换机和分布式技术实现VPC私有网络模型，提供独享的、互相隔离的虚拟网络，实现不限制数量的包括虚拟私有网络、虚拟路由器、虚拟负载均衡、安全组、浮动IP、NAT网关、VPC网络拓扑等元素。提供全局负载均衡器能力，支持单节点或双节点高可用部署，提供4-7层流量分发能力，支持HTTP/HTTPS/TCP等协议、会话保持、域名转发、证书绑定，以及最小连接/轮询/源IP等多种负载均衡策略，提供时间间隔、重试次数、超时限制等健康监控检查方式（提供产品对应功能界面截图）。</w:t>
            </w:r>
          </w:p>
        </w:tc>
      </w:tr>
      <w:tr w14:paraId="41E175F6">
        <w:tblPrEx>
          <w:tblCellMar>
            <w:top w:w="0" w:type="dxa"/>
            <w:left w:w="108" w:type="dxa"/>
            <w:bottom w:w="0" w:type="dxa"/>
            <w:right w:w="108" w:type="dxa"/>
          </w:tblCellMar>
        </w:tblPrEx>
        <w:trPr>
          <w:trHeight w:val="130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FBF9929">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端口组</w:t>
            </w:r>
          </w:p>
        </w:tc>
        <w:tc>
          <w:tcPr>
            <w:tcW w:w="7512" w:type="dxa"/>
            <w:tcBorders>
              <w:top w:val="single" w:color="000000" w:sz="4" w:space="0"/>
              <w:left w:val="single" w:color="000000" w:sz="4" w:space="0"/>
              <w:bottom w:val="single" w:color="000000" w:sz="4" w:space="0"/>
              <w:right w:val="single" w:color="000000" w:sz="4" w:space="0"/>
            </w:tcBorders>
            <w:vAlign w:val="bottom"/>
          </w:tcPr>
          <w:p w14:paraId="39BAC43A">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端口组支持普通（默认仅允许单VLAN ID）、中继模式（支持多VLAN ID），同时支持Qos及安全能力，包括设置VLAN ID、以及出入方向平均带宽、出入方向突发缓冲、网络优先级、IP广播包限速、ARP广播包限速、DHCP拦截等参数。使用VPC网络时，支持基于浮动IP的带宽Qos策略。</w:t>
            </w:r>
          </w:p>
        </w:tc>
      </w:tr>
      <w:tr w14:paraId="1AB48380">
        <w:tblPrEx>
          <w:tblCellMar>
            <w:top w:w="0" w:type="dxa"/>
            <w:left w:w="108" w:type="dxa"/>
            <w:bottom w:w="0" w:type="dxa"/>
            <w:right w:w="108" w:type="dxa"/>
          </w:tblCellMar>
        </w:tblPrEx>
        <w:trPr>
          <w:trHeight w:val="104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DD6B5BE">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IPv4/IPv6</w:t>
            </w:r>
          </w:p>
        </w:tc>
        <w:tc>
          <w:tcPr>
            <w:tcW w:w="7512" w:type="dxa"/>
            <w:tcBorders>
              <w:top w:val="single" w:color="000000" w:sz="4" w:space="0"/>
              <w:left w:val="single" w:color="000000" w:sz="4" w:space="0"/>
              <w:bottom w:val="single" w:color="000000" w:sz="4" w:space="0"/>
              <w:right w:val="single" w:color="000000" w:sz="4" w:space="0"/>
            </w:tcBorders>
            <w:vAlign w:val="bottom"/>
          </w:tcPr>
          <w:p w14:paraId="43DD3BC0">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图形管理界面为运行中的虚拟机设置IPv4/IPv6类型的IP地址（不需重启虚拟机生效），帮助简化IP地址配置的复杂度，同时提供IP冲突检测机制；支持为单个虚拟机网卡设置MTU值和多队列参数，优化网络中断处理效率（提供产品对应功能界面截图）。</w:t>
            </w:r>
          </w:p>
        </w:tc>
      </w:tr>
      <w:tr w14:paraId="00A731E9">
        <w:tblPrEx>
          <w:tblCellMar>
            <w:top w:w="0" w:type="dxa"/>
            <w:left w:w="108" w:type="dxa"/>
            <w:bottom w:w="0" w:type="dxa"/>
            <w:right w:w="108" w:type="dxa"/>
          </w:tblCellMar>
        </w:tblPrEx>
        <w:trPr>
          <w:trHeight w:val="104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2738C489">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资源预测</w:t>
            </w:r>
          </w:p>
        </w:tc>
        <w:tc>
          <w:tcPr>
            <w:tcW w:w="7512" w:type="dxa"/>
            <w:tcBorders>
              <w:top w:val="single" w:color="000000" w:sz="4" w:space="0"/>
              <w:left w:val="single" w:color="000000" w:sz="4" w:space="0"/>
              <w:bottom w:val="single" w:color="000000" w:sz="4" w:space="0"/>
              <w:right w:val="single" w:color="000000" w:sz="4" w:space="0"/>
            </w:tcBorders>
            <w:vAlign w:val="bottom"/>
          </w:tcPr>
          <w:p w14:paraId="4A5DC941">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向虚拟化集群支持资源预测能力，提供集群内宿主机负载热力图，以及包含CPU、内存、存储等资源的历史用量、预测用量趋势图。根据已有数据自动预测CPU、内存、存储等资源的可用时间，分析未来若干天内是否可能形成瓶颈，并提供资源扩容建议。（提供产品对应功能界面截图）。</w:t>
            </w:r>
          </w:p>
        </w:tc>
      </w:tr>
      <w:tr w14:paraId="05F00214">
        <w:tblPrEx>
          <w:tblCellMar>
            <w:top w:w="0" w:type="dxa"/>
            <w:left w:w="108" w:type="dxa"/>
            <w:bottom w:w="0" w:type="dxa"/>
            <w:right w:w="108" w:type="dxa"/>
          </w:tblCellMar>
        </w:tblPrEx>
        <w:trPr>
          <w:trHeight w:val="104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78232A70">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闲置资源分析</w:t>
            </w:r>
          </w:p>
        </w:tc>
        <w:tc>
          <w:tcPr>
            <w:tcW w:w="7512" w:type="dxa"/>
            <w:tcBorders>
              <w:top w:val="single" w:color="000000" w:sz="4" w:space="0"/>
              <w:left w:val="single" w:color="000000" w:sz="4" w:space="0"/>
              <w:bottom w:val="single" w:color="000000" w:sz="4" w:space="0"/>
              <w:right w:val="single" w:color="000000" w:sz="4" w:space="0"/>
            </w:tcBorders>
            <w:vAlign w:val="bottom"/>
          </w:tcPr>
          <w:p w14:paraId="59C31812">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闲置资源分析能力，支持依据连续的电源关闭状态时间、网络IO读写或吞吐量等判断条件，自动分析形成长期关机虚拟机、闲置虚拟机列表。确认为闲置资源可移入回收站；确认为非闲置资源支持忽略。（提供产品对应功能界面截图）。</w:t>
            </w:r>
          </w:p>
        </w:tc>
      </w:tr>
      <w:tr w14:paraId="17B210A6">
        <w:tblPrEx>
          <w:tblCellMar>
            <w:top w:w="0" w:type="dxa"/>
            <w:left w:w="108" w:type="dxa"/>
            <w:bottom w:w="0" w:type="dxa"/>
            <w:right w:w="108" w:type="dxa"/>
          </w:tblCellMar>
        </w:tblPrEx>
        <w:trPr>
          <w:trHeight w:val="78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DC5F013">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虚拟机实例优化</w:t>
            </w:r>
          </w:p>
        </w:tc>
        <w:tc>
          <w:tcPr>
            <w:tcW w:w="7512" w:type="dxa"/>
            <w:tcBorders>
              <w:top w:val="single" w:color="000000" w:sz="4" w:space="0"/>
              <w:left w:val="single" w:color="000000" w:sz="4" w:space="0"/>
              <w:bottom w:val="single" w:color="000000" w:sz="4" w:space="0"/>
              <w:right w:val="single" w:color="000000" w:sz="4" w:space="0"/>
            </w:tcBorders>
            <w:vAlign w:val="bottom"/>
          </w:tcPr>
          <w:p w14:paraId="4FC1E11F">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提供虚拟机实例优化能力，支持依据持续的CPU、内存使用率等判断条件，自动分析形成建议降配或建议升配的虚拟机，以达到计算资源的合理利用和分配的目的。（提供产品对应功能界面截图）。</w:t>
            </w:r>
          </w:p>
        </w:tc>
      </w:tr>
      <w:tr w14:paraId="7B6AE59A">
        <w:tblPrEx>
          <w:tblCellMar>
            <w:top w:w="0" w:type="dxa"/>
            <w:left w:w="108" w:type="dxa"/>
            <w:bottom w:w="0" w:type="dxa"/>
            <w:right w:w="108" w:type="dxa"/>
          </w:tblCellMar>
        </w:tblPrEx>
        <w:trPr>
          <w:trHeight w:val="182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504A31FB">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备份管理</w:t>
            </w:r>
          </w:p>
        </w:tc>
        <w:tc>
          <w:tcPr>
            <w:tcW w:w="7512" w:type="dxa"/>
            <w:tcBorders>
              <w:top w:val="single" w:color="000000" w:sz="4" w:space="0"/>
              <w:left w:val="single" w:color="000000" w:sz="4" w:space="0"/>
              <w:bottom w:val="single" w:color="000000" w:sz="4" w:space="0"/>
              <w:right w:val="single" w:color="000000" w:sz="4" w:space="0"/>
            </w:tcBorders>
            <w:vAlign w:val="bottom"/>
          </w:tcPr>
          <w:p w14:paraId="01F103FF">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虚拟化管理界面自带备份管理模块，不需借助独立第三方软件或额外工具，且无需虚拟机系统安装代理，即可在虚拟化管理界面实现虚拟机全量、增量备份；备份策略支持定时、周期性等计划性策略，支持按天、按个数的备份保留规则，支持虚拟机整机备份或单盘备份，支持管理备份任务及还原、删除备份文件；提供备份池任务管理，统计虚拟机最近一次、近一个月的备份任务的成功或失败状态。</w:t>
            </w:r>
          </w:p>
        </w:tc>
      </w:tr>
      <w:tr w14:paraId="6E97B597">
        <w:tblPrEx>
          <w:tblCellMar>
            <w:top w:w="0" w:type="dxa"/>
            <w:left w:w="108" w:type="dxa"/>
            <w:bottom w:w="0" w:type="dxa"/>
            <w:right w:w="108" w:type="dxa"/>
          </w:tblCellMar>
        </w:tblPrEx>
        <w:trPr>
          <w:trHeight w:val="699"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4F01C83B">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Vmware纳管</w:t>
            </w:r>
          </w:p>
        </w:tc>
        <w:tc>
          <w:tcPr>
            <w:tcW w:w="7512" w:type="dxa"/>
            <w:tcBorders>
              <w:top w:val="single" w:color="000000" w:sz="4" w:space="0"/>
              <w:left w:val="single" w:color="000000" w:sz="4" w:space="0"/>
              <w:bottom w:val="single" w:color="000000" w:sz="4" w:space="0"/>
              <w:right w:val="single" w:color="000000" w:sz="4" w:space="0"/>
            </w:tcBorders>
            <w:vAlign w:val="bottom"/>
          </w:tcPr>
          <w:p w14:paraId="13B3A574">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考虑技术融合、存量资源保护要求，管理平台在X86、ARM架构下均支持VMware vSphere虚拟化平台（例如6.0/6.5/6.7/7.0等版本）的纳管，支持监控集群性能、主机性能、虚拟机操作系统及状态、存储池、虚拟磁盘及存储路径、标准虚拟交换机、分布式虚拟交换机、端口组及关联的VLAN和IP网段、镜像及存储路径等信息；支持纳管NSX-T，监控Edge集群、分布式防火墙实例及规则管理、T0逻辑路由器及关联的HA模式和T1逻辑路由器等信息，并抽象为包括私有网络、NAT转换规则在内的VPC网络模型（提供产品对应功能界面截图）。</w:t>
            </w:r>
          </w:p>
        </w:tc>
      </w:tr>
      <w:tr w14:paraId="1F152D05">
        <w:tblPrEx>
          <w:tblCellMar>
            <w:top w:w="0" w:type="dxa"/>
            <w:left w:w="108" w:type="dxa"/>
            <w:bottom w:w="0" w:type="dxa"/>
            <w:right w:w="108" w:type="dxa"/>
          </w:tblCellMar>
        </w:tblPrEx>
        <w:trPr>
          <w:trHeight w:val="274"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7DBC1535">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物理机纳管</w:t>
            </w:r>
          </w:p>
        </w:tc>
        <w:tc>
          <w:tcPr>
            <w:tcW w:w="7512" w:type="dxa"/>
            <w:tcBorders>
              <w:top w:val="single" w:color="000000" w:sz="4" w:space="0"/>
              <w:left w:val="single" w:color="000000" w:sz="4" w:space="0"/>
              <w:bottom w:val="single" w:color="000000" w:sz="4" w:space="0"/>
              <w:right w:val="single" w:color="000000" w:sz="4" w:space="0"/>
            </w:tcBorders>
            <w:vAlign w:val="bottom"/>
          </w:tcPr>
          <w:p w14:paraId="5F373918">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支持纳管物理裸机到虚拟化管理平台统一管理，包括BMC IP、BMC连接信息、设备管理员、系统管理员、维保时间等资产管理信息，支持对裸机开关机电源管理。管理平台能够监控物理裸机的详细硬件信息，包括硬件温度、硬件功耗、风扇转速、电源功率等；支持一键链接打开物理裸机的BMC带外管理平台，方便转至机器带外管理运维（提供产品对应功能界面截图）。</w:t>
            </w:r>
          </w:p>
        </w:tc>
      </w:tr>
      <w:tr w14:paraId="5F476AE1">
        <w:tblPrEx>
          <w:tblCellMar>
            <w:top w:w="0" w:type="dxa"/>
            <w:left w:w="108" w:type="dxa"/>
            <w:bottom w:w="0" w:type="dxa"/>
            <w:right w:w="108" w:type="dxa"/>
          </w:tblCellMar>
        </w:tblPrEx>
        <w:trPr>
          <w:trHeight w:val="637"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33FCA166">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跨平台迁移</w:t>
            </w:r>
          </w:p>
        </w:tc>
        <w:tc>
          <w:tcPr>
            <w:tcW w:w="7512" w:type="dxa"/>
            <w:tcBorders>
              <w:top w:val="single" w:color="000000" w:sz="4" w:space="0"/>
              <w:left w:val="single" w:color="000000" w:sz="4" w:space="0"/>
              <w:bottom w:val="single" w:color="000000" w:sz="4" w:space="0"/>
              <w:right w:val="single" w:color="000000" w:sz="4" w:space="0"/>
            </w:tcBorders>
            <w:vAlign w:val="center"/>
          </w:tcPr>
          <w:p w14:paraId="588634CE">
            <w:pPr>
              <w:keepNext w:val="0"/>
              <w:keepLines w:val="0"/>
              <w:pageBreakBefore w:val="0"/>
              <w:widowControl/>
              <w:kinsoku/>
              <w:topLinePunct w:val="0"/>
              <w:autoSpaceDE/>
              <w:autoSpaceDN/>
              <w:bidi w:val="0"/>
              <w:adjustRightInd w:val="0"/>
              <w:snapToGrid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跨平台，跨异构硬件的迁移能力，支持X86、ARM架构的虚拟机从国产虚拟化平台导出到本地，导出位置不依赖于指定的存储类型，利于跨平台复制和转移。为满足未来国产化替代的要求，需支持虚拟机在同芯片架构的资源池（例如鲲鹏和飞腾之间、Intel/AMD和海光之间）相互迁移，无需额外工具支持；支持向国产虚拟化平台导入ova格式虚拟机，提供将虚拟机从VMware平台一键批量在线迁移至国产虚拟化平台的迁移管理功能（与虚拟化管理平台界面融合，非提供第三方迁移工具的方式），迁移过程能够规划迁移目标位置和目标网络。（提供虚拟机导入及导出、鲲鹏-飞腾之间迁移、Intel-海光之间迁移、导入OVA虚拟机、从vSphere迁移虚拟机的界面截图。）</w:t>
            </w:r>
          </w:p>
        </w:tc>
      </w:tr>
      <w:tr w14:paraId="10F208A4">
        <w:tblPrEx>
          <w:tblCellMar>
            <w:top w:w="0" w:type="dxa"/>
            <w:left w:w="108" w:type="dxa"/>
            <w:bottom w:w="0" w:type="dxa"/>
            <w:right w:w="108" w:type="dxa"/>
          </w:tblCellMar>
        </w:tblPrEx>
        <w:trPr>
          <w:trHeight w:val="52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67F6087F">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安全功能</w:t>
            </w:r>
          </w:p>
        </w:tc>
        <w:tc>
          <w:tcPr>
            <w:tcW w:w="7512" w:type="dxa"/>
            <w:tcBorders>
              <w:top w:val="single" w:color="000000" w:sz="4" w:space="0"/>
              <w:left w:val="single" w:color="000000" w:sz="4" w:space="0"/>
              <w:bottom w:val="single" w:color="000000" w:sz="4" w:space="0"/>
              <w:right w:val="single" w:color="000000" w:sz="4" w:space="0"/>
            </w:tcBorders>
            <w:vAlign w:val="bottom"/>
          </w:tcPr>
          <w:p w14:paraId="7DD870BA">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支持三员管理和国密算法加密关键敏感数据，防止关键数据被篡改（提供产品对应功能界面截图）。</w:t>
            </w:r>
          </w:p>
        </w:tc>
      </w:tr>
      <w:tr w14:paraId="10B26CAE">
        <w:tblPrEx>
          <w:tblCellMar>
            <w:top w:w="0" w:type="dxa"/>
            <w:left w:w="108" w:type="dxa"/>
            <w:bottom w:w="0" w:type="dxa"/>
            <w:right w:w="108" w:type="dxa"/>
          </w:tblCellMar>
        </w:tblPrEx>
        <w:trPr>
          <w:trHeight w:val="52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476E0FB9">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DDoS防护</w:t>
            </w:r>
          </w:p>
        </w:tc>
        <w:tc>
          <w:tcPr>
            <w:tcW w:w="7512" w:type="dxa"/>
            <w:tcBorders>
              <w:top w:val="single" w:color="000000" w:sz="4" w:space="0"/>
              <w:left w:val="single" w:color="000000" w:sz="4" w:space="0"/>
              <w:bottom w:val="single" w:color="000000" w:sz="4" w:space="0"/>
              <w:right w:val="single" w:color="000000" w:sz="4" w:space="0"/>
            </w:tcBorders>
            <w:vAlign w:val="bottom"/>
          </w:tcPr>
          <w:p w14:paraId="032D0049">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宿主机提供DDoS防护能力，能够统计被攻击IP及记录，自动生成DDoS防护统计热点图（提供产品对应功能界面截图）。</w:t>
            </w:r>
          </w:p>
        </w:tc>
      </w:tr>
      <w:tr w14:paraId="0B3A97F6">
        <w:tblPrEx>
          <w:tblCellMar>
            <w:top w:w="0" w:type="dxa"/>
            <w:left w:w="108" w:type="dxa"/>
            <w:bottom w:w="0" w:type="dxa"/>
            <w:right w:w="108" w:type="dxa"/>
          </w:tblCellMar>
        </w:tblPrEx>
        <w:trPr>
          <w:trHeight w:val="104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336C39E3">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集群HA</w:t>
            </w:r>
          </w:p>
        </w:tc>
        <w:tc>
          <w:tcPr>
            <w:tcW w:w="7512" w:type="dxa"/>
            <w:tcBorders>
              <w:top w:val="single" w:color="000000" w:sz="4" w:space="0"/>
              <w:left w:val="single" w:color="000000" w:sz="4" w:space="0"/>
              <w:bottom w:val="single" w:color="000000" w:sz="4" w:space="0"/>
              <w:right w:val="single" w:color="000000" w:sz="4" w:space="0"/>
            </w:tcBorders>
            <w:vAlign w:val="bottom"/>
          </w:tcPr>
          <w:p w14:paraId="599CC4B4">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集群HA高可用和虚拟化管理平台主备部署，故障主机上的虚拟机自动在集群内的其它宿主机上恢复运行；HA心跳网络支持管理网络、存储网络、分布式存储网络，兼容物理交换机的单播、组播模式配置，仲裁方式支持IPMI、SBD磁盘等。</w:t>
            </w:r>
          </w:p>
        </w:tc>
      </w:tr>
      <w:tr w14:paraId="3AE2AD62">
        <w:tblPrEx>
          <w:tblCellMar>
            <w:top w:w="0" w:type="dxa"/>
            <w:left w:w="108" w:type="dxa"/>
            <w:bottom w:w="0" w:type="dxa"/>
            <w:right w:w="108" w:type="dxa"/>
          </w:tblCellMar>
        </w:tblPrEx>
        <w:trPr>
          <w:trHeight w:val="104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565E056">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DRS主机亲和性</w:t>
            </w:r>
          </w:p>
        </w:tc>
        <w:tc>
          <w:tcPr>
            <w:tcW w:w="7512" w:type="dxa"/>
            <w:tcBorders>
              <w:top w:val="single" w:color="000000" w:sz="4" w:space="0"/>
              <w:left w:val="single" w:color="000000" w:sz="4" w:space="0"/>
              <w:bottom w:val="single" w:color="000000" w:sz="4" w:space="0"/>
              <w:right w:val="single" w:color="000000" w:sz="4" w:space="0"/>
            </w:tcBorders>
            <w:vAlign w:val="bottom"/>
          </w:tcPr>
          <w:p w14:paraId="11DD5F95">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RS规则允许配置虚拟机与宿主机的亲和性（必须运行于指定宿主机、禁止运行于指定宿主机、不应在指定宿主机上运行、应当在指定宿主机运行等）、虚拟机与虚拟机的亲和性（聚集/互斥）规则，约束业务的调度位置提升可用性。</w:t>
            </w:r>
          </w:p>
        </w:tc>
      </w:tr>
      <w:tr w14:paraId="00812949">
        <w:tblPrEx>
          <w:tblCellMar>
            <w:top w:w="0" w:type="dxa"/>
            <w:left w:w="108" w:type="dxa"/>
            <w:bottom w:w="0" w:type="dxa"/>
            <w:right w:w="108" w:type="dxa"/>
          </w:tblCellMar>
        </w:tblPrEx>
        <w:trPr>
          <w:trHeight w:val="78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722CADC6">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平台性能</w:t>
            </w:r>
          </w:p>
        </w:tc>
        <w:tc>
          <w:tcPr>
            <w:tcW w:w="7512" w:type="dxa"/>
            <w:tcBorders>
              <w:top w:val="single" w:color="000000" w:sz="4" w:space="0"/>
              <w:left w:val="single" w:color="000000" w:sz="4" w:space="0"/>
              <w:bottom w:val="single" w:color="000000" w:sz="4" w:space="0"/>
              <w:right w:val="single" w:color="000000" w:sz="4" w:space="0"/>
            </w:tcBorders>
            <w:vAlign w:val="bottom"/>
          </w:tcPr>
          <w:p w14:paraId="65AA2EC2">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具备虚拟机热迁移能力且迁移中断时延小于1秒，CPU虚拟化、内存虚拟化性能损耗均小于10%。</w:t>
            </w:r>
            <w:r>
              <w:rPr>
                <w:rFonts w:hint="eastAsia" w:ascii="宋体" w:hAnsi="宋体" w:eastAsia="宋体" w:cs="宋体"/>
                <w:bCs/>
                <w:color w:val="000000"/>
                <w:kern w:val="0"/>
                <w:sz w:val="24"/>
                <w:szCs w:val="24"/>
                <w:lang w:bidi="ar"/>
              </w:rPr>
              <w:t>（提供工信部下属权威机构测试报告证明）。</w:t>
            </w:r>
          </w:p>
        </w:tc>
      </w:tr>
      <w:tr w14:paraId="2BC9D417">
        <w:tblPrEx>
          <w:tblCellMar>
            <w:top w:w="0" w:type="dxa"/>
            <w:left w:w="108" w:type="dxa"/>
            <w:bottom w:w="0" w:type="dxa"/>
            <w:right w:w="108" w:type="dxa"/>
          </w:tblCellMar>
        </w:tblPrEx>
        <w:trPr>
          <w:trHeight w:val="780" w:hRule="atLeast"/>
          <w:jc w:val="center"/>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B609B75">
            <w:pPr>
              <w:keepNext w:val="0"/>
              <w:keepLines w:val="0"/>
              <w:pageBreakBefore w:val="0"/>
              <w:widowControl/>
              <w:kinsoku/>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界面定制化</w:t>
            </w:r>
          </w:p>
        </w:tc>
        <w:tc>
          <w:tcPr>
            <w:tcW w:w="7512" w:type="dxa"/>
            <w:tcBorders>
              <w:top w:val="single" w:color="000000" w:sz="4" w:space="0"/>
              <w:left w:val="single" w:color="000000" w:sz="4" w:space="0"/>
              <w:bottom w:val="single" w:color="000000" w:sz="4" w:space="0"/>
              <w:right w:val="single" w:color="000000" w:sz="4" w:space="0"/>
            </w:tcBorders>
            <w:vAlign w:val="bottom"/>
          </w:tcPr>
          <w:p w14:paraId="216C475B">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为符合我单位业务管理需求，所投产品应支持无需代码修改或研发支持即可快速定制修改管理界面，包括界面logo、浏览器标签LOGO、产品名称、产品版本、平台名称、虚拟化类型名称、版权信息、官网信息、产品描述等。</w:t>
            </w:r>
          </w:p>
        </w:tc>
      </w:tr>
    </w:tbl>
    <w:p w14:paraId="394CB6C5">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3、集成初级服务</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50"/>
      </w:tblGrid>
      <w:tr w14:paraId="6D8D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417" w:type="dxa"/>
            <w:vAlign w:val="center"/>
          </w:tcPr>
          <w:p w14:paraId="4C546A47">
            <w:pPr>
              <w:keepNext w:val="0"/>
              <w:keepLines w:val="0"/>
              <w:pageBreakBefore w:val="0"/>
              <w:kinsoku/>
              <w:topLinePunct w:val="0"/>
              <w:autoSpaceDE/>
              <w:autoSpaceDN/>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指标项</w:t>
            </w:r>
          </w:p>
        </w:tc>
        <w:tc>
          <w:tcPr>
            <w:tcW w:w="7650" w:type="dxa"/>
            <w:vAlign w:val="center"/>
          </w:tcPr>
          <w:p w14:paraId="5CDF19F8">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技术参数要求</w:t>
            </w:r>
          </w:p>
        </w:tc>
      </w:tr>
      <w:tr w14:paraId="6C09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14:paraId="481D0C79">
            <w:pPr>
              <w:keepNext w:val="0"/>
              <w:keepLines w:val="0"/>
              <w:pageBreakBefore w:val="0"/>
              <w:kinsoku/>
              <w:topLinePunct w:val="0"/>
              <w:autoSpaceDE/>
              <w:autoSpaceDN/>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7650" w:type="dxa"/>
            <w:vAlign w:val="center"/>
          </w:tcPr>
          <w:p w14:paraId="653BCF4A">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1、本次采购的所有软硬件设备的安装调试；</w:t>
            </w:r>
          </w:p>
          <w:p w14:paraId="61743A54">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2、本次采购的所有软硬件设备安装过程中所需要的辅材（包含但不限于如光模块，光纤跳线，网络跳线等）</w:t>
            </w:r>
          </w:p>
          <w:p w14:paraId="6F127505">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3、传染病上传前置机初级部署服务内容如下</w:t>
            </w:r>
          </w:p>
          <w:p w14:paraId="2472C9B3">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①检查服务器品牌型号及选择通过适配的对应前置软件版本； </w:t>
            </w:r>
          </w:p>
          <w:p w14:paraId="18F61AA4">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②欧拉操作系统最新版本安装、调整磁盘分配、端口分配及服务； </w:t>
            </w:r>
          </w:p>
          <w:p w14:paraId="361EF899">
            <w:pPr>
              <w:keepNext w:val="0"/>
              <w:keepLines w:val="0"/>
              <w:pageBreakBefore w:val="0"/>
              <w:widowControl/>
              <w:kinsoku/>
              <w:topLinePunct w:val="0"/>
              <w:autoSpaceDE/>
              <w:autoSpaceDN/>
              <w:bidi w:val="0"/>
              <w:adjustRightInd w:val="0"/>
              <w:snapToGrid w:val="0"/>
              <w:spacing w:line="360" w:lineRule="auto"/>
              <w:jc w:val="left"/>
              <w:textAlignment w:val="bottom"/>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③OpenGauss与本次项目相配套的版本数据库软件安装、用户域安全角色创建、初始化电子病例镜像库预连接参数设置、合规表空间创建、疾控局标准 EMR库表与字典创建初始化、数据备份机制设置。</w:t>
            </w:r>
          </w:p>
        </w:tc>
      </w:tr>
    </w:tbl>
    <w:p w14:paraId="373B0C7C">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cs="宋体"/>
          <w:b/>
          <w:bCs/>
          <w:color w:val="auto"/>
          <w:sz w:val="24"/>
          <w:szCs w:val="24"/>
          <w:highlight w:val="none"/>
          <w:lang w:val="ru-RU"/>
        </w:rPr>
      </w:pPr>
      <w:r>
        <w:rPr>
          <w:rFonts w:hint="eastAsia" w:ascii="Times New Roman" w:hAnsi="Times New Roman" w:eastAsia="宋体" w:cs="宋体"/>
          <w:b/>
          <w:bCs/>
          <w:color w:val="auto"/>
          <w:sz w:val="24"/>
          <w:szCs w:val="24"/>
          <w:highlight w:val="none"/>
          <w:lang w:val="ru-RU"/>
        </w:rPr>
        <w:t>备注：</w:t>
      </w:r>
    </w:p>
    <w:p w14:paraId="6DAD4918">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lang w:val="ru-RU"/>
        </w:rPr>
      </w:pPr>
      <w:r>
        <w:rPr>
          <w:rFonts w:hint="eastAsia" w:ascii="Times New Roman" w:hAnsi="Times New Roman" w:eastAsia="宋体" w:cs="宋体"/>
          <w:b/>
          <w:bCs/>
          <w:color w:val="auto"/>
          <w:sz w:val="24"/>
          <w:szCs w:val="24"/>
          <w:highlight w:val="none"/>
          <w:lang w:val="ru-RU"/>
        </w:rPr>
        <w:t>设备</w:t>
      </w:r>
      <w:r>
        <w:rPr>
          <w:rFonts w:hint="eastAsia" w:ascii="Times New Roman" w:hAnsi="Times New Roman" w:eastAsia="宋体" w:cs="宋体"/>
          <w:b/>
          <w:bCs/>
          <w:color w:val="auto"/>
          <w:sz w:val="24"/>
          <w:szCs w:val="24"/>
          <w:highlight w:val="none"/>
        </w:rPr>
        <w:t>详细</w:t>
      </w:r>
      <w:r>
        <w:rPr>
          <w:rFonts w:hint="eastAsia" w:ascii="Times New Roman" w:hAnsi="Times New Roman" w:eastAsia="宋体" w:cs="宋体"/>
          <w:b/>
          <w:bCs/>
          <w:color w:val="auto"/>
          <w:sz w:val="24"/>
          <w:szCs w:val="24"/>
          <w:highlight w:val="none"/>
          <w:lang w:val="ru-RU"/>
        </w:rPr>
        <w:t>参数及要求中★项为必须满足项，不接受负偏离。本次项目产品参数中所涉及的功能截图、参数证明材料等在</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时需提供相对应的证明材料。</w:t>
      </w:r>
    </w:p>
    <w:p w14:paraId="5A127840">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lang w:val="ru-RU"/>
        </w:rPr>
      </w:pPr>
      <w:r>
        <w:rPr>
          <w:rFonts w:hint="eastAsia" w:ascii="Times New Roman" w:hAnsi="Times New Roman" w:eastAsia="宋体" w:cs="宋体"/>
          <w:b/>
          <w:bCs/>
          <w:color w:val="auto"/>
          <w:sz w:val="24"/>
          <w:szCs w:val="24"/>
          <w:highlight w:val="none"/>
          <w:lang w:val="ru-RU"/>
        </w:rPr>
        <w:t>签订合同前</w:t>
      </w:r>
      <w:r>
        <w:rPr>
          <w:rFonts w:hint="eastAsia" w:ascii="Times New Roman" w:hAnsi="Times New Roman" w:eastAsia="宋体" w:cs="宋体"/>
          <w:b/>
          <w:bCs/>
          <w:color w:val="auto"/>
          <w:sz w:val="24"/>
          <w:szCs w:val="24"/>
          <w:highlight w:val="none"/>
          <w:lang w:val="ru-RU" w:eastAsia="zh-CN"/>
        </w:rPr>
        <w:t>成交</w:t>
      </w:r>
      <w:r>
        <w:rPr>
          <w:rFonts w:hint="eastAsia" w:ascii="Times New Roman" w:hAnsi="Times New Roman" w:eastAsia="宋体" w:cs="宋体"/>
          <w:b/>
          <w:bCs/>
          <w:color w:val="auto"/>
          <w:sz w:val="24"/>
          <w:szCs w:val="24"/>
          <w:highlight w:val="none"/>
          <w:lang w:val="ru-RU"/>
        </w:rPr>
        <w:t>供应商须向采购方提供：①</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设备生产厂家盖章的技术偏离表原件（须加盖生产厂家鲜章）</w:t>
      </w:r>
      <w:r>
        <w:rPr>
          <w:rFonts w:hint="eastAsia" w:ascii="Times New Roman" w:hAnsi="Times New Roman" w:eastAsia="宋体" w:cs="宋体"/>
          <w:b/>
          <w:bCs/>
          <w:color w:val="auto"/>
          <w:sz w:val="24"/>
          <w:szCs w:val="24"/>
          <w:highlight w:val="none"/>
          <w:lang w:val="ru-RU"/>
        </w:rPr>
        <w:t>，②产品参数中所涉及的功能截图、参数证明材料电子扫描件的原件（须加盖生产厂家鲜章）</w:t>
      </w:r>
      <w:r>
        <w:rPr>
          <w:rFonts w:hint="eastAsia" w:ascii="Times New Roman" w:hAnsi="Times New Roman" w:eastAsia="宋体" w:cs="宋体"/>
          <w:b/>
          <w:bCs/>
          <w:color w:val="auto"/>
          <w:sz w:val="24"/>
          <w:szCs w:val="24"/>
          <w:highlight w:val="none"/>
          <w:lang w:val="ru-RU"/>
        </w:rPr>
        <w:t>；③</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设备生产厂家针对本项目的原厂授权函和</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设备原厂质保售后服务承诺函原件（须加盖生产厂家鲜章）</w:t>
      </w:r>
      <w:r>
        <w:rPr>
          <w:rFonts w:hint="eastAsia" w:ascii="Times New Roman" w:hAnsi="Times New Roman" w:eastAsia="宋体" w:cs="宋体"/>
          <w:b/>
          <w:bCs/>
          <w:color w:val="auto"/>
          <w:sz w:val="24"/>
          <w:szCs w:val="24"/>
          <w:highlight w:val="none"/>
          <w:lang w:val="ru-RU"/>
        </w:rPr>
        <w:t>。如未能提供①②③所要求的材料，视为虚假</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，采购人有权拒绝授予合同，并报政府采购监管部门。</w:t>
      </w:r>
    </w:p>
    <w:p w14:paraId="63E48F67">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ru-RU"/>
        </w:rPr>
        <w:t>为保障所采购的设备能达到预期效果，必要时用户有权要求</w:t>
      </w:r>
      <w:r>
        <w:rPr>
          <w:rFonts w:hint="eastAsia" w:ascii="Times New Roman" w:hAnsi="Times New Roman" w:eastAsia="宋体" w:cs="宋体"/>
          <w:b/>
          <w:bCs/>
          <w:color w:val="auto"/>
          <w:sz w:val="24"/>
          <w:szCs w:val="24"/>
          <w:highlight w:val="none"/>
          <w:lang w:val="ru-RU" w:eastAsia="zh-CN"/>
        </w:rPr>
        <w:t>成交</w:t>
      </w:r>
      <w:r>
        <w:rPr>
          <w:rFonts w:hint="eastAsia" w:ascii="Times New Roman" w:hAnsi="Times New Roman" w:eastAsia="宋体" w:cs="宋体"/>
          <w:b/>
          <w:bCs/>
          <w:color w:val="auto"/>
          <w:sz w:val="24"/>
          <w:szCs w:val="24"/>
          <w:highlight w:val="none"/>
          <w:lang w:val="ru-RU"/>
        </w:rPr>
        <w:t>供应商在七个工作日内提供项目采购的产品进行功能性测试，发现虚假强行</w:t>
      </w:r>
      <w:r>
        <w:rPr>
          <w:rFonts w:hint="eastAsia" w:ascii="Times New Roman" w:hAnsi="Times New Roman" w:eastAsia="宋体" w:cs="宋体"/>
          <w:b/>
          <w:bCs/>
          <w:color w:val="auto"/>
          <w:sz w:val="24"/>
          <w:szCs w:val="24"/>
          <w:highlight w:val="none"/>
          <w:lang w:val="ru-RU" w:eastAsia="zh-CN"/>
        </w:rPr>
        <w:t>响应</w:t>
      </w:r>
      <w:r>
        <w:rPr>
          <w:rFonts w:hint="eastAsia" w:ascii="Times New Roman" w:hAnsi="Times New Roman" w:eastAsia="宋体" w:cs="宋体"/>
          <w:b/>
          <w:bCs/>
          <w:color w:val="auto"/>
          <w:sz w:val="24"/>
          <w:szCs w:val="24"/>
          <w:highlight w:val="none"/>
          <w:lang w:val="ru-RU"/>
        </w:rPr>
        <w:t>的将取消其</w:t>
      </w:r>
      <w:r>
        <w:rPr>
          <w:rFonts w:hint="eastAsia" w:ascii="Times New Roman" w:hAnsi="Times New Roman" w:eastAsia="宋体" w:cs="宋体"/>
          <w:b/>
          <w:bCs/>
          <w:color w:val="auto"/>
          <w:sz w:val="24"/>
          <w:szCs w:val="24"/>
          <w:highlight w:val="none"/>
          <w:lang w:val="ru-RU" w:eastAsia="zh-CN"/>
        </w:rPr>
        <w:t>成交</w:t>
      </w:r>
      <w:r>
        <w:rPr>
          <w:rFonts w:hint="eastAsia" w:ascii="Times New Roman" w:hAnsi="Times New Roman" w:eastAsia="宋体" w:cs="宋体"/>
          <w:b/>
          <w:bCs/>
          <w:color w:val="auto"/>
          <w:sz w:val="24"/>
          <w:szCs w:val="24"/>
          <w:highlight w:val="none"/>
          <w:lang w:val="ru-RU"/>
        </w:rPr>
        <w:t>资格。给</w:t>
      </w:r>
      <w:r>
        <w:rPr>
          <w:rFonts w:hint="eastAsia" w:ascii="Times New Roman" w:hAnsi="Times New Roman" w:eastAsia="宋体" w:cs="宋体"/>
          <w:b/>
          <w:bCs/>
          <w:color w:val="auto"/>
          <w:sz w:val="24"/>
          <w:szCs w:val="24"/>
          <w:highlight w:val="none"/>
          <w:lang w:val="ru-RU" w:eastAsia="zh-CN"/>
        </w:rPr>
        <w:t>采购</w:t>
      </w:r>
      <w:r>
        <w:rPr>
          <w:rFonts w:hint="eastAsia" w:ascii="Times New Roman" w:hAnsi="Times New Roman" w:eastAsia="宋体" w:cs="宋体"/>
          <w:b/>
          <w:bCs/>
          <w:color w:val="auto"/>
          <w:sz w:val="24"/>
          <w:szCs w:val="24"/>
          <w:highlight w:val="none"/>
          <w:lang w:val="ru-RU"/>
        </w:rPr>
        <w:t>人造成损失的</w:t>
      </w:r>
      <w:r>
        <w:rPr>
          <w:rFonts w:hint="eastAsia" w:ascii="Times New Roman" w:hAnsi="Times New Roman" w:eastAsia="宋体" w:cs="宋体"/>
          <w:b/>
          <w:bCs/>
          <w:color w:val="auto"/>
          <w:sz w:val="24"/>
          <w:szCs w:val="24"/>
          <w:highlight w:val="none"/>
          <w:lang w:val="ru-RU" w:eastAsia="zh-CN"/>
        </w:rPr>
        <w:t>，</w:t>
      </w:r>
      <w:r>
        <w:rPr>
          <w:rFonts w:hint="eastAsia" w:ascii="Times New Roman" w:hAnsi="Times New Roman" w:eastAsia="宋体" w:cs="宋体"/>
          <w:b/>
          <w:bCs/>
          <w:color w:val="auto"/>
          <w:sz w:val="24"/>
          <w:szCs w:val="24"/>
          <w:highlight w:val="none"/>
          <w:lang w:val="ru-RU"/>
        </w:rPr>
        <w:t>依法承担法律责任。</w:t>
      </w:r>
    </w:p>
    <w:p w14:paraId="3289768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四、</w:t>
      </w:r>
      <w:r>
        <w:rPr>
          <w:rFonts w:hint="eastAsia" w:ascii="Times New Roman" w:hAnsi="Times New Roman" w:eastAsia="宋体" w:cs="宋体"/>
          <w:b/>
          <w:bCs/>
          <w:color w:val="auto"/>
          <w:szCs w:val="24"/>
          <w:highlight w:val="none"/>
          <w:shd w:val="clear" w:color="auto" w:fill="FFFFFF"/>
        </w:rPr>
        <w:t>采购标的数量、采购项目交付或者实施的时间和地点</w:t>
      </w:r>
    </w:p>
    <w:tbl>
      <w:tblPr>
        <w:tblStyle w:val="2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76"/>
        <w:gridCol w:w="5953"/>
        <w:gridCol w:w="993"/>
      </w:tblGrid>
      <w:tr w14:paraId="50DB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0" w:type="dxa"/>
            <w:noWrap/>
            <w:vAlign w:val="center"/>
          </w:tcPr>
          <w:p w14:paraId="0B02E378">
            <w:pPr>
              <w:keepNext w:val="0"/>
              <w:keepLines w:val="0"/>
              <w:pageBreakBefore w:val="0"/>
              <w:widowControl/>
              <w:kinsoku/>
              <w:topLinePunct w:val="0"/>
              <w:autoSpaceDE/>
              <w:autoSpaceDN/>
              <w:bidi w:val="0"/>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276" w:type="dxa"/>
            <w:vAlign w:val="center"/>
          </w:tcPr>
          <w:p w14:paraId="619B85B0">
            <w:pPr>
              <w:keepNext w:val="0"/>
              <w:keepLines w:val="0"/>
              <w:pageBreakBefore w:val="0"/>
              <w:widowControl/>
              <w:kinsoku/>
              <w:topLinePunct w:val="0"/>
              <w:autoSpaceDE/>
              <w:autoSpaceDN/>
              <w:bidi w:val="0"/>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产品名称</w:t>
            </w:r>
          </w:p>
        </w:tc>
        <w:tc>
          <w:tcPr>
            <w:tcW w:w="5953" w:type="dxa"/>
            <w:vAlign w:val="center"/>
          </w:tcPr>
          <w:p w14:paraId="2281DB13">
            <w:pPr>
              <w:keepNext w:val="0"/>
              <w:keepLines w:val="0"/>
              <w:pageBreakBefore w:val="0"/>
              <w:widowControl/>
              <w:kinsoku/>
              <w:topLinePunct w:val="0"/>
              <w:autoSpaceDE/>
              <w:autoSpaceDN/>
              <w:bidi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配置要求</w:t>
            </w:r>
          </w:p>
        </w:tc>
        <w:tc>
          <w:tcPr>
            <w:tcW w:w="993" w:type="dxa"/>
            <w:vAlign w:val="center"/>
          </w:tcPr>
          <w:p w14:paraId="6EBAF7C5">
            <w:pPr>
              <w:keepNext w:val="0"/>
              <w:keepLines w:val="0"/>
              <w:pageBreakBefore w:val="0"/>
              <w:widowControl/>
              <w:kinsoku/>
              <w:topLinePunct w:val="0"/>
              <w:autoSpaceDE/>
              <w:autoSpaceDN/>
              <w:bidi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数量</w:t>
            </w:r>
          </w:p>
        </w:tc>
      </w:tr>
      <w:tr w14:paraId="3C1B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0" w:type="dxa"/>
            <w:noWrap/>
            <w:vAlign w:val="center"/>
          </w:tcPr>
          <w:p w14:paraId="51467D1E">
            <w:pPr>
              <w:keepNext w:val="0"/>
              <w:keepLines w:val="0"/>
              <w:pageBreakBefore w:val="0"/>
              <w:widowControl/>
              <w:kinsoku/>
              <w:topLinePunct w:val="0"/>
              <w:autoSpaceDE/>
              <w:autoSpaceDN/>
              <w:bidi w:val="0"/>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276" w:type="dxa"/>
            <w:vAlign w:val="center"/>
          </w:tcPr>
          <w:p w14:paraId="47A52740">
            <w:pPr>
              <w:keepNext w:val="0"/>
              <w:keepLines w:val="0"/>
              <w:pageBreakBefore w:val="0"/>
              <w:widowControl/>
              <w:kinsoku/>
              <w:topLinePunct w:val="0"/>
              <w:autoSpaceDE/>
              <w:autoSpaceDN/>
              <w:bidi w:val="0"/>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前置服务器</w:t>
            </w:r>
          </w:p>
        </w:tc>
        <w:tc>
          <w:tcPr>
            <w:tcW w:w="5953" w:type="dxa"/>
            <w:vAlign w:val="center"/>
          </w:tcPr>
          <w:p w14:paraId="2B72B939">
            <w:pPr>
              <w:keepNext w:val="0"/>
              <w:keepLines w:val="0"/>
              <w:pageBreakBefore w:val="0"/>
              <w:widowControl/>
              <w:kinsoku/>
              <w:topLinePunct w:val="0"/>
              <w:autoSpaceDE/>
              <w:autoSpaceDN/>
              <w:bidi w:val="0"/>
              <w:adjustRightInd w:val="0"/>
              <w:snapToGrid w:val="0"/>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2颗≥Hygon 7375处理器（2.0GHz/32c），≥256G内存，2块≥480G SSD硬盘，≥2块双口万兆网卡（含模块），≥1块4口千兆电网卡，冗余电源风扇，3年原厂质保服务</w:t>
            </w:r>
          </w:p>
        </w:tc>
        <w:tc>
          <w:tcPr>
            <w:tcW w:w="993" w:type="dxa"/>
            <w:vAlign w:val="center"/>
          </w:tcPr>
          <w:p w14:paraId="2D6029B8">
            <w:pPr>
              <w:keepNext w:val="0"/>
              <w:keepLines w:val="0"/>
              <w:pageBreakBefore w:val="0"/>
              <w:widowControl/>
              <w:kinsoku/>
              <w:topLinePunct w:val="0"/>
              <w:autoSpaceDE/>
              <w:autoSpaceDN/>
              <w:bidi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1台</w:t>
            </w:r>
          </w:p>
        </w:tc>
      </w:tr>
      <w:tr w14:paraId="2D2B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0" w:type="dxa"/>
            <w:noWrap/>
            <w:vAlign w:val="center"/>
          </w:tcPr>
          <w:p w14:paraId="352808A3">
            <w:pPr>
              <w:keepNext w:val="0"/>
              <w:keepLines w:val="0"/>
              <w:pageBreakBefore w:val="0"/>
              <w:widowControl/>
              <w:kinsoku/>
              <w:topLinePunct w:val="0"/>
              <w:autoSpaceDE/>
              <w:autoSpaceDN/>
              <w:bidi w:val="0"/>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1276" w:type="dxa"/>
            <w:vAlign w:val="center"/>
          </w:tcPr>
          <w:p w14:paraId="2A465F51">
            <w:pPr>
              <w:keepNext w:val="0"/>
              <w:keepLines w:val="0"/>
              <w:pageBreakBefore w:val="0"/>
              <w:widowControl/>
              <w:kinsoku/>
              <w:topLinePunct w:val="0"/>
              <w:autoSpaceDE/>
              <w:autoSpaceDN/>
              <w:bidi w:val="0"/>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国产服务器虚拟化软件</w:t>
            </w:r>
          </w:p>
        </w:tc>
        <w:tc>
          <w:tcPr>
            <w:tcW w:w="5953" w:type="dxa"/>
            <w:vAlign w:val="center"/>
          </w:tcPr>
          <w:p w14:paraId="02989B8F">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服务器虚拟化软件全面兼容龙芯、飞腾、鲲鹏、海光、兆芯等芯片架构的服务器虚拟化软件；</w:t>
            </w:r>
          </w:p>
          <w:p w14:paraId="3DCC74AE">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提供虚拟机的创建、开关机、暂停、重启、休眠、删除、克隆、快照、备份、迁移、导出等资源生命全周期管理，提供HA高可用、DRS资源动态调整、监控等企业级虚拟化功能，满足企业级的业务需求；</w:t>
            </w:r>
          </w:p>
          <w:p w14:paraId="55DE5D11">
            <w:pPr>
              <w:keepNext w:val="0"/>
              <w:keepLines w:val="0"/>
              <w:pageBreakBefore w:val="0"/>
              <w:widowControl/>
              <w:kinsoku/>
              <w:topLinePunct w:val="0"/>
              <w:autoSpaceDE/>
              <w:autoSpaceDN/>
              <w:bidi w:val="0"/>
              <w:adjustRightInd w:val="0"/>
              <w:snapToGrid w:val="0"/>
              <w:spacing w:line="360" w:lineRule="auto"/>
              <w:rPr>
                <w:rFonts w:hint="eastAsia" w:ascii="宋体" w:hAnsi="宋体" w:eastAsia="宋体" w:cs="宋体"/>
                <w:bCs/>
                <w:kern w:val="0"/>
                <w:sz w:val="24"/>
                <w:szCs w:val="24"/>
              </w:rPr>
            </w:pPr>
            <w:r>
              <w:rPr>
                <w:rStyle w:val="76"/>
                <w:rFonts w:hint="eastAsia" w:ascii="宋体" w:hAnsi="宋体" w:eastAsia="宋体" w:cs="宋体"/>
                <w:sz w:val="24"/>
                <w:szCs w:val="24"/>
                <w:lang w:bidi="ar"/>
              </w:rPr>
              <w:t>配置</w:t>
            </w:r>
            <w:r>
              <w:rPr>
                <w:rFonts w:hint="eastAsia" w:ascii="宋体" w:hAnsi="宋体" w:eastAsia="宋体" w:cs="宋体"/>
                <w:kern w:val="0"/>
                <w:sz w:val="24"/>
                <w:szCs w:val="24"/>
              </w:rPr>
              <w:t>≥</w:t>
            </w:r>
            <w:r>
              <w:rPr>
                <w:rStyle w:val="77"/>
                <w:rFonts w:hint="eastAsia" w:ascii="宋体" w:hAnsi="宋体" w:eastAsia="宋体" w:cs="宋体"/>
                <w:sz w:val="24"/>
                <w:szCs w:val="24"/>
                <w:lang w:bidi="ar"/>
              </w:rPr>
              <w:t>2</w:t>
            </w:r>
            <w:r>
              <w:rPr>
                <w:rStyle w:val="76"/>
                <w:rFonts w:hint="eastAsia" w:ascii="宋体" w:hAnsi="宋体" w:eastAsia="宋体" w:cs="宋体"/>
                <w:sz w:val="24"/>
                <w:szCs w:val="24"/>
                <w:lang w:bidi="ar"/>
              </w:rPr>
              <w:t>颗物理</w:t>
            </w:r>
            <w:r>
              <w:rPr>
                <w:rStyle w:val="77"/>
                <w:rFonts w:hint="eastAsia" w:ascii="宋体" w:hAnsi="宋体" w:eastAsia="宋体" w:cs="宋体"/>
                <w:sz w:val="24"/>
                <w:szCs w:val="24"/>
                <w:lang w:bidi="ar"/>
              </w:rPr>
              <w:t>CPU</w:t>
            </w:r>
            <w:r>
              <w:rPr>
                <w:rStyle w:val="76"/>
                <w:rFonts w:hint="eastAsia" w:ascii="宋体" w:hAnsi="宋体" w:eastAsia="宋体" w:cs="宋体"/>
                <w:sz w:val="24"/>
                <w:szCs w:val="24"/>
                <w:lang w:bidi="ar"/>
              </w:rPr>
              <w:t>授权，授权包含计算虚拟化，网络虚拟化等功能模块；</w:t>
            </w:r>
            <w:r>
              <w:rPr>
                <w:rFonts w:hint="eastAsia" w:ascii="宋体" w:hAnsi="宋体" w:eastAsia="宋体" w:cs="宋体"/>
                <w:kern w:val="0"/>
                <w:sz w:val="24"/>
                <w:szCs w:val="24"/>
              </w:rPr>
              <w:t>三年质保服务。</w:t>
            </w:r>
          </w:p>
        </w:tc>
        <w:tc>
          <w:tcPr>
            <w:tcW w:w="993" w:type="dxa"/>
            <w:vAlign w:val="center"/>
          </w:tcPr>
          <w:p w14:paraId="44F813D8">
            <w:pPr>
              <w:keepNext w:val="0"/>
              <w:keepLines w:val="0"/>
              <w:pageBreakBefore w:val="0"/>
              <w:widowControl/>
              <w:kinsoku/>
              <w:topLinePunct w:val="0"/>
              <w:autoSpaceDE/>
              <w:autoSpaceDN/>
              <w:bidi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1套</w:t>
            </w:r>
          </w:p>
        </w:tc>
      </w:tr>
      <w:tr w14:paraId="2D9F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0" w:type="dxa"/>
            <w:noWrap/>
            <w:vAlign w:val="center"/>
          </w:tcPr>
          <w:p w14:paraId="5B8CE06E">
            <w:pPr>
              <w:keepNext w:val="0"/>
              <w:keepLines w:val="0"/>
              <w:pageBreakBefore w:val="0"/>
              <w:widowControl/>
              <w:kinsoku/>
              <w:topLinePunct w:val="0"/>
              <w:autoSpaceDE/>
              <w:autoSpaceDN/>
              <w:bidi w:val="0"/>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276" w:type="dxa"/>
            <w:noWrap/>
            <w:vAlign w:val="center"/>
          </w:tcPr>
          <w:p w14:paraId="799B5EE4">
            <w:pPr>
              <w:keepNext w:val="0"/>
              <w:keepLines w:val="0"/>
              <w:pageBreakBefore w:val="0"/>
              <w:widowControl/>
              <w:kinsoku/>
              <w:topLinePunct w:val="0"/>
              <w:autoSpaceDE/>
              <w:autoSpaceDN/>
              <w:bidi w:val="0"/>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集成初级服务</w:t>
            </w:r>
          </w:p>
        </w:tc>
        <w:tc>
          <w:tcPr>
            <w:tcW w:w="5953" w:type="dxa"/>
            <w:vAlign w:val="center"/>
          </w:tcPr>
          <w:p w14:paraId="5E92D824">
            <w:pPr>
              <w:keepNext w:val="0"/>
              <w:keepLines w:val="0"/>
              <w:pageBreakBefore w:val="0"/>
              <w:widowControl/>
              <w:kinsoku/>
              <w:topLinePunct w:val="0"/>
              <w:autoSpaceDE/>
              <w:autoSpaceDN/>
              <w:bidi w:val="0"/>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包含但不限于本次项目所需的所有相关配件、辅材、培训资料、传染病上传前置机初级部署服务等,详见技术参数。</w:t>
            </w:r>
          </w:p>
        </w:tc>
        <w:tc>
          <w:tcPr>
            <w:tcW w:w="993" w:type="dxa"/>
            <w:noWrap/>
            <w:vAlign w:val="center"/>
          </w:tcPr>
          <w:p w14:paraId="26CC1A7C">
            <w:pPr>
              <w:keepNext w:val="0"/>
              <w:keepLines w:val="0"/>
              <w:pageBreakBefore w:val="0"/>
              <w:widowControl/>
              <w:kinsoku/>
              <w:topLinePunct w:val="0"/>
              <w:autoSpaceDE/>
              <w:autoSpaceDN/>
              <w:bidi w:val="0"/>
              <w:adjustRightInd w:val="0"/>
              <w:snapToGri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1批</w:t>
            </w:r>
          </w:p>
        </w:tc>
      </w:tr>
    </w:tbl>
    <w:p w14:paraId="5F3C49E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1、交货期：合同签订之日起60个工作日内安装调试完成。</w:t>
      </w:r>
    </w:p>
    <w:p w14:paraId="2A6B79B5">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2、交货要求：所有货品必须原包装进场，运送及安装到用户指定地点。</w:t>
      </w:r>
    </w:p>
    <w:p w14:paraId="16933F51">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五、</w:t>
      </w:r>
      <w:r>
        <w:rPr>
          <w:rFonts w:hint="eastAsia" w:ascii="Times New Roman" w:hAnsi="Times New Roman" w:eastAsia="宋体" w:cs="宋体"/>
          <w:b/>
          <w:bCs/>
          <w:color w:val="auto"/>
          <w:szCs w:val="24"/>
          <w:highlight w:val="none"/>
          <w:shd w:val="clear" w:color="auto" w:fill="FFFFFF"/>
        </w:rPr>
        <w:t>采购标的需满足的服务标准、期限、效率等要求</w:t>
      </w:r>
    </w:p>
    <w:p w14:paraId="096E74C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（1）合同签订及质保期 </w:t>
      </w:r>
    </w:p>
    <w:p w14:paraId="12A53C4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①签定合同日期：自中标（成交）通知书发出之日起 15日内按时签约。</w:t>
      </w:r>
    </w:p>
    <w:p w14:paraId="2914203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②设备质保：所投产品软硬件质保期均为三年。在质保期内因产品本身质量问题发生故障，需免费更换或维修，超过质保期后，所有产品提供终身成本维修（维修只收取部件成本费）。</w:t>
      </w:r>
    </w:p>
    <w:p w14:paraId="1BF0E6D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（2）项目实施与服务要求</w:t>
      </w:r>
    </w:p>
    <w:p w14:paraId="41858C0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所有设备均为原厂全新设备，原包装进场，三年质保期内采购单位如设备需要进行位置调整可跟据实现情况提供安装调试服务。 </w:t>
      </w:r>
    </w:p>
    <w:p w14:paraId="237619A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（3）售后服务要求</w:t>
      </w:r>
    </w:p>
    <w:p w14:paraId="049126B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①质保期内提供所有产品应用交付专业服务和整体运维服务。 </w:t>
      </w:r>
    </w:p>
    <w:p w14:paraId="64ED3B66">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②本项目中所有软硬件提供原厂质保服务、软件升级服务、全免费上门主动服务和应急服务等。售后服务的价格包含在</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总价中，采购方不再另外付费。</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 xml:space="preserve">商提供7*24小时售后服务，对于现场应急服务应立即响应，10分钟内电话响应或者远程技术支持，根据采购方要求本项目的维保售后人员至少实现4小时内解决问题；质保期内免费提供软件各种版本（含跨版本）的升级，免费提供所有授权（License）。 </w:t>
      </w:r>
    </w:p>
    <w:p w14:paraId="4E8D5C9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③质保期内免费提供所有软件（包括大、小版本等）的升级，不得以任何借口收取任何升级费用。</w:t>
      </w:r>
    </w:p>
    <w:p w14:paraId="33BFA6C5">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④本项目实施时</w:t>
      </w:r>
      <w:r>
        <w:rPr>
          <w:rFonts w:hint="eastAsia" w:ascii="Times New Roman" w:hAnsi="Times New Roman" w:eastAsia="宋体" w:cs="宋体"/>
          <w:color w:val="auto"/>
          <w:sz w:val="24"/>
          <w:szCs w:val="24"/>
          <w:highlight w:val="none"/>
          <w:lang w:eastAsia="zh-CN"/>
        </w:rPr>
        <w:t>响应供应商</w:t>
      </w:r>
      <w:r>
        <w:rPr>
          <w:rFonts w:hint="eastAsia" w:ascii="Times New Roman" w:hAnsi="Times New Roman" w:eastAsia="宋体" w:cs="宋体"/>
          <w:color w:val="auto"/>
          <w:sz w:val="24"/>
          <w:szCs w:val="24"/>
          <w:highlight w:val="none"/>
        </w:rPr>
        <w:t xml:space="preserve">应提供所需的连接配件（如光纤跳线等）、辅助材料等。 </w:t>
      </w:r>
    </w:p>
    <w:p w14:paraId="6E871EB6">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⑤根据采购方使用需要，提供现场培训，直到交付使用，以确保用户本次项目产品的使用、维护、常见故障的排除。质保期按照采购方要求提供培训服务，使受训人员能独立进行管理、故障处理、日常测试维护等工作。 </w:t>
      </w:r>
    </w:p>
    <w:p w14:paraId="6053786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⑥如遇重大节日或采购方认为的重要时期，需按采购方指定要求进行特殊时期的检查和驻场技术保障工作。</w:t>
      </w:r>
    </w:p>
    <w:p w14:paraId="3B0F11A2">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六、</w:t>
      </w:r>
      <w:r>
        <w:rPr>
          <w:rFonts w:hint="eastAsia" w:ascii="Times New Roman" w:hAnsi="Times New Roman" w:eastAsia="宋体" w:cs="宋体"/>
          <w:b/>
          <w:bCs/>
          <w:color w:val="auto"/>
          <w:szCs w:val="24"/>
          <w:highlight w:val="none"/>
          <w:shd w:val="clear" w:color="auto" w:fill="FFFFFF"/>
        </w:rPr>
        <w:t>采购标的验收标准</w:t>
      </w:r>
    </w:p>
    <w:p w14:paraId="6C553B8C">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采购单位按合同约定积极配合供应商履约，按合同约定及时组织相关专业技术人员进行验收，并出具验收报告，验收合格的作为支付款项的依据。</w:t>
      </w:r>
    </w:p>
    <w:p w14:paraId="47592047">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七、</w:t>
      </w:r>
      <w:r>
        <w:rPr>
          <w:rFonts w:hint="eastAsia" w:ascii="Times New Roman" w:hAnsi="Times New Roman" w:eastAsia="宋体" w:cs="宋体"/>
          <w:b/>
          <w:bCs/>
          <w:color w:val="auto"/>
          <w:szCs w:val="24"/>
          <w:highlight w:val="none"/>
          <w:shd w:val="clear" w:color="auto" w:fill="FFFFFF"/>
        </w:rPr>
        <w:t>采购标的其他技术、服务等要求</w:t>
      </w:r>
    </w:p>
    <w:p w14:paraId="01123CB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质量保证期内提供工程师免费上门安装、调试、更换所供设备的所有零、部件，设备所有软件系统、相关数据库均提供免费升级服务；提供完备的软件、技术资料和用户维护手册。</w:t>
      </w:r>
    </w:p>
    <w:p w14:paraId="7753042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lang w:eastAsia="zh-CN"/>
        </w:rPr>
        <w:t>八、</w:t>
      </w:r>
      <w:r>
        <w:rPr>
          <w:rFonts w:hint="eastAsia" w:ascii="Times New Roman" w:hAnsi="Times New Roman" w:eastAsia="宋体" w:cs="宋体"/>
          <w:b/>
          <w:bCs/>
          <w:color w:val="auto"/>
          <w:szCs w:val="24"/>
          <w:highlight w:val="none"/>
          <w:shd w:val="clear" w:color="auto" w:fill="FFFFFF"/>
        </w:rPr>
        <w:t>付款条件</w:t>
      </w:r>
    </w:p>
    <w:p w14:paraId="72D0EAF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1、合同的签订：自采购中心中标（成交）通知书发出之日起15日内按时签约。</w:t>
      </w:r>
    </w:p>
    <w:p w14:paraId="0D9AF64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2、付款方式：合同签订生效后15个工作日内，支付合同全款的30%；实施完毕验收合格后15个工作日内，支付合同全款的60%；余款10%在质保期满后15个工作日内付清。</w:t>
      </w:r>
    </w:p>
    <w:p w14:paraId="469E48FE">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0" w:name="_Toc43217893"/>
      <w:bookmarkStart w:id="11" w:name="_Toc38121794"/>
      <w:bookmarkStart w:id="12" w:name="_Toc37322565"/>
      <w:bookmarkStart w:id="13" w:name="_Toc85627670"/>
      <w:bookmarkStart w:id="14" w:name="_Toc182848996"/>
      <w:r>
        <w:rPr>
          <w:rFonts w:hint="eastAsia" w:ascii="Times New Roman" w:hAnsi="Times New Roman" w:eastAsia="宋体" w:cs="宋体"/>
          <w:color w:val="auto"/>
          <w:w w:val="80"/>
          <w:sz w:val="48"/>
          <w:szCs w:val="44"/>
          <w:highlight w:val="none"/>
        </w:rPr>
        <w:t xml:space="preserve"> 评审方法和程序</w:t>
      </w:r>
      <w:bookmarkEnd w:id="10"/>
      <w:bookmarkEnd w:id="11"/>
      <w:bookmarkEnd w:id="12"/>
      <w:bookmarkEnd w:id="13"/>
      <w:bookmarkEnd w:id="14"/>
    </w:p>
    <w:p w14:paraId="42F7245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5" w:name="_Toc363573857"/>
      <w:bookmarkEnd w:id="15"/>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70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30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供应商的抽签顺序分别为各</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70</w:t>
      </w:r>
      <w:r>
        <w:rPr>
          <w:rFonts w:hint="eastAsia" w:ascii="Times New Roman" w:hAnsi="Times New Roman" w:eastAsia="宋体" w:cs="宋体"/>
          <w:b/>
          <w:bCs/>
          <w:color w:val="auto"/>
          <w:szCs w:val="24"/>
          <w:highlight w:val="none"/>
          <w:shd w:val="clear" w:color="auto" w:fill="FFFFFF"/>
        </w:rPr>
        <w:t>分</w:t>
      </w:r>
    </w:p>
    <w:tbl>
      <w:tblPr>
        <w:tblStyle w:val="2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005"/>
        <w:gridCol w:w="980"/>
        <w:gridCol w:w="6489"/>
      </w:tblGrid>
      <w:tr w14:paraId="3F62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9" w:type="dxa"/>
            <w:vAlign w:val="center"/>
          </w:tcPr>
          <w:p w14:paraId="6C87373D">
            <w:pPr>
              <w:keepNext w:val="0"/>
              <w:keepLines w:val="0"/>
              <w:pageBreakBefore w:val="0"/>
              <w:widowControl/>
              <w:kinsoku/>
              <w:topLinePunct w:val="0"/>
              <w:autoSpaceDE/>
              <w:autoSpaceDN/>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005" w:type="dxa"/>
            <w:vAlign w:val="center"/>
          </w:tcPr>
          <w:p w14:paraId="64B0640B">
            <w:pPr>
              <w:keepNext w:val="0"/>
              <w:keepLines w:val="0"/>
              <w:pageBreakBefore w:val="0"/>
              <w:widowControl/>
              <w:kinsoku/>
              <w:topLinePunct w:val="0"/>
              <w:autoSpaceDE/>
              <w:autoSpaceDN/>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名称</w:t>
            </w:r>
          </w:p>
        </w:tc>
        <w:tc>
          <w:tcPr>
            <w:tcW w:w="980" w:type="dxa"/>
            <w:vAlign w:val="center"/>
          </w:tcPr>
          <w:p w14:paraId="2019C0B0">
            <w:pPr>
              <w:keepNext w:val="0"/>
              <w:keepLines w:val="0"/>
              <w:pageBreakBefore w:val="0"/>
              <w:widowControl/>
              <w:kinsoku/>
              <w:topLinePunct w:val="0"/>
              <w:autoSpaceDE/>
              <w:autoSpaceDN/>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分值</w:t>
            </w:r>
          </w:p>
        </w:tc>
        <w:tc>
          <w:tcPr>
            <w:tcW w:w="6489" w:type="dxa"/>
            <w:vAlign w:val="center"/>
          </w:tcPr>
          <w:p w14:paraId="4D236636">
            <w:pPr>
              <w:keepNext w:val="0"/>
              <w:keepLines w:val="0"/>
              <w:pageBreakBefore w:val="0"/>
              <w:widowControl/>
              <w:kinsoku/>
              <w:topLinePunct w:val="0"/>
              <w:autoSpaceDE/>
              <w:autoSpaceDN/>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评审标准</w:t>
            </w:r>
          </w:p>
        </w:tc>
      </w:tr>
      <w:tr w14:paraId="02B8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839" w:type="dxa"/>
            <w:vAlign w:val="center"/>
          </w:tcPr>
          <w:p w14:paraId="4A49D869">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05" w:type="dxa"/>
            <w:vAlign w:val="center"/>
          </w:tcPr>
          <w:p w14:paraId="275BB793">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技术参数要求</w:t>
            </w:r>
          </w:p>
        </w:tc>
        <w:tc>
          <w:tcPr>
            <w:tcW w:w="980" w:type="dxa"/>
            <w:vAlign w:val="center"/>
          </w:tcPr>
          <w:p w14:paraId="00775BBB">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6489" w:type="dxa"/>
            <w:vAlign w:val="center"/>
          </w:tcPr>
          <w:p w14:paraId="1C6DB8BB">
            <w:pPr>
              <w:keepNext w:val="0"/>
              <w:keepLines w:val="0"/>
              <w:pageBreakBefore w:val="0"/>
              <w:widowControl/>
              <w:kinsoku/>
              <w:topLinePunct w:val="0"/>
              <w:autoSpaceDE/>
              <w:autoSpaceDN/>
              <w:bidi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对设备的产品技术参数进行打分，技术参数要求进行逐条应答，完全对应采购文件设备的产品技术参数要求得28分。其中标★为核心指标，不允许负偏离，如出现负偏离</w:t>
            </w:r>
            <w:r>
              <w:rPr>
                <w:rFonts w:hint="eastAsia" w:ascii="宋体" w:hAnsi="宋体" w:eastAsia="宋体" w:cs="宋体"/>
                <w:kern w:val="0"/>
                <w:sz w:val="24"/>
                <w:szCs w:val="24"/>
                <w:lang w:eastAsia="zh-CN"/>
              </w:rPr>
              <w:t>作</w:t>
            </w:r>
            <w:r>
              <w:rPr>
                <w:rFonts w:hint="eastAsia" w:ascii="宋体" w:hAnsi="宋体" w:eastAsia="宋体" w:cs="宋体"/>
                <w:kern w:val="0"/>
                <w:sz w:val="24"/>
                <w:szCs w:val="24"/>
              </w:rPr>
              <w:t>无效响应处理；▲号项为重要指标项目，一项不满足扣2分；其他项不满足的每项扣1分；扣完为止，正偏离不加分。（需按要求提供相关证明材料或者截图的，证明材料或者功能截图需要与招标文件描述功能吻合，</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时未提供相关证明材料或功能截图不符合要求者，视为负偏离)</w:t>
            </w:r>
          </w:p>
        </w:tc>
      </w:tr>
      <w:tr w14:paraId="08A1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839" w:type="dxa"/>
            <w:vMerge w:val="restart"/>
            <w:vAlign w:val="center"/>
          </w:tcPr>
          <w:p w14:paraId="4C85B83B">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05" w:type="dxa"/>
            <w:vMerge w:val="restart"/>
            <w:vAlign w:val="center"/>
          </w:tcPr>
          <w:p w14:paraId="058B06E8">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公司</w:t>
            </w:r>
          </w:p>
          <w:p w14:paraId="566BAF86">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实力</w:t>
            </w:r>
          </w:p>
        </w:tc>
        <w:tc>
          <w:tcPr>
            <w:tcW w:w="980" w:type="dxa"/>
            <w:vAlign w:val="center"/>
          </w:tcPr>
          <w:p w14:paraId="35DBABF3">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489" w:type="dxa"/>
            <w:vAlign w:val="center"/>
          </w:tcPr>
          <w:p w14:paraId="55C53362">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响应供应商</w:t>
            </w:r>
            <w:r>
              <w:rPr>
                <w:rFonts w:hint="eastAsia" w:ascii="宋体" w:hAnsi="宋体" w:eastAsia="宋体" w:cs="宋体"/>
                <w:kern w:val="0"/>
                <w:sz w:val="24"/>
                <w:szCs w:val="24"/>
              </w:rPr>
              <w:t>具有有效期内的信息技术服务标准（ITSS）资质三级及以上，</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时提供https://www.itss.cn/web/itss/c/xxcx/cert（官方查询网站）有效截图证明材料，得3分。</w:t>
            </w:r>
          </w:p>
          <w:p w14:paraId="01BA5521">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响应供应商</w:t>
            </w:r>
            <w:r>
              <w:rPr>
                <w:rFonts w:hint="eastAsia" w:ascii="宋体" w:hAnsi="宋体" w:eastAsia="宋体" w:cs="宋体"/>
                <w:kern w:val="0"/>
                <w:sz w:val="24"/>
                <w:szCs w:val="24"/>
              </w:rPr>
              <w:t>具有有效期内的信息安全服务资质认证证书（CCRC）资质，得3分。</w:t>
            </w:r>
          </w:p>
          <w:p w14:paraId="1FDCB3D4">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以上均需提供证书原件扫描件</w:t>
            </w:r>
            <w:r>
              <w:rPr>
                <w:rFonts w:hint="eastAsia" w:ascii="宋体" w:hAnsi="宋体" w:eastAsia="宋体" w:cs="宋体"/>
                <w:color w:val="auto"/>
                <w:kern w:val="0"/>
                <w:sz w:val="24"/>
                <w:szCs w:val="24"/>
                <w:lang w:eastAsia="zh-CN"/>
              </w:rPr>
              <w:t>并加盖公章</w:t>
            </w:r>
            <w:r>
              <w:rPr>
                <w:rFonts w:hint="eastAsia" w:ascii="宋体" w:hAnsi="宋体" w:eastAsia="宋体" w:cs="宋体"/>
                <w:kern w:val="0"/>
                <w:sz w:val="24"/>
                <w:szCs w:val="24"/>
              </w:rPr>
              <w:t>，未提供不得分。</w:t>
            </w:r>
          </w:p>
        </w:tc>
      </w:tr>
      <w:tr w14:paraId="2B8D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39" w:type="dxa"/>
            <w:vMerge w:val="continue"/>
            <w:vAlign w:val="center"/>
          </w:tcPr>
          <w:p w14:paraId="17DD228E">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p>
        </w:tc>
        <w:tc>
          <w:tcPr>
            <w:tcW w:w="1005" w:type="dxa"/>
            <w:vMerge w:val="continue"/>
            <w:vAlign w:val="center"/>
          </w:tcPr>
          <w:p w14:paraId="7681AFAF">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p>
        </w:tc>
        <w:tc>
          <w:tcPr>
            <w:tcW w:w="980" w:type="dxa"/>
            <w:vAlign w:val="center"/>
          </w:tcPr>
          <w:p w14:paraId="21479959">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489" w:type="dxa"/>
            <w:vAlign w:val="center"/>
          </w:tcPr>
          <w:p w14:paraId="09B55AB6">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1、项目支撑团队具有注册信息安全工程师证书（CISP）每提供一个，可得1分，本项最多可得2分。</w:t>
            </w:r>
          </w:p>
          <w:p w14:paraId="2F384E00">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项目支撑团队具有CISAW信息安全保障(安全集成)人员认证证书，得2分；具有CISAW信息安全保障(风险管理)人员认证证书，得2分；具有CISAW信息安全保障(安全运维)人员认证证书，得2分；本项最多可得6分。（备注：项目支撑团队相同人员持多证的，只按一个证书计分）</w:t>
            </w:r>
          </w:p>
          <w:p w14:paraId="5B2B1599">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3、项目支撑团队具有系统集成项目管理工程师证书，每提供一个，可得1分，本项最多可得2分。</w:t>
            </w:r>
          </w:p>
          <w:p w14:paraId="3156B16F">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（以上证书人员需均须为</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供应商在职员工，需提供</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供应商为其缴纳</w:t>
            </w:r>
            <w:r>
              <w:rPr>
                <w:rFonts w:hint="eastAsia" w:ascii="宋体" w:hAnsi="宋体" w:eastAsia="宋体" w:cs="宋体"/>
                <w:color w:val="auto"/>
                <w:kern w:val="0"/>
                <w:sz w:val="24"/>
                <w:szCs w:val="24"/>
              </w:rPr>
              <w:t>的</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以后任意一个月</w:t>
            </w:r>
            <w:r>
              <w:rPr>
                <w:rFonts w:hint="eastAsia" w:ascii="宋体" w:hAnsi="宋体" w:eastAsia="宋体" w:cs="宋体"/>
                <w:kern w:val="0"/>
                <w:sz w:val="24"/>
                <w:szCs w:val="24"/>
              </w:rPr>
              <w:t>的社保证明材料及工程师证书复印件加盖公章，缺一不可）</w:t>
            </w:r>
          </w:p>
        </w:tc>
      </w:tr>
      <w:tr w14:paraId="324B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14:paraId="42CE0FEE">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05" w:type="dxa"/>
            <w:vAlign w:val="center"/>
          </w:tcPr>
          <w:p w14:paraId="37E25673">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产品</w:t>
            </w:r>
          </w:p>
          <w:p w14:paraId="2BC9B0F5">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资质</w:t>
            </w:r>
          </w:p>
        </w:tc>
        <w:tc>
          <w:tcPr>
            <w:tcW w:w="980" w:type="dxa"/>
            <w:vAlign w:val="center"/>
          </w:tcPr>
          <w:p w14:paraId="46F5827C">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489" w:type="dxa"/>
            <w:vAlign w:val="center"/>
          </w:tcPr>
          <w:p w14:paraId="373062E3">
            <w:pPr>
              <w:pStyle w:val="62"/>
              <w:keepNext w:val="0"/>
              <w:keepLines w:val="0"/>
              <w:pageBreakBefore w:val="0"/>
              <w:kinsoku/>
              <w:topLinePunct w:val="0"/>
              <w:autoSpaceDE/>
              <w:autoSpaceDN/>
              <w:bidi w:val="0"/>
              <w:adjustRightInd w:val="0"/>
              <w:snapToGrid w:val="0"/>
              <w:spacing w:line="360" w:lineRule="auto"/>
              <w:ind w:left="0"/>
              <w:rPr>
                <w:rFonts w:hint="eastAsia" w:ascii="宋体" w:hAnsi="宋体" w:eastAsia="宋体" w:cs="宋体"/>
                <w:bCs/>
                <w:sz w:val="24"/>
                <w:szCs w:val="24"/>
                <w:lang w:eastAsia="zh-CN"/>
              </w:rPr>
            </w:pPr>
            <w:r>
              <w:rPr>
                <w:rFonts w:hint="eastAsia" w:ascii="宋体" w:hAnsi="宋体" w:eastAsia="宋体" w:cs="宋体"/>
                <w:bCs/>
                <w:sz w:val="24"/>
                <w:szCs w:val="24"/>
                <w:lang w:eastAsia="zh-CN"/>
              </w:rPr>
              <w:t>1、为了保证国家传染病智能监测预警前置软件安全稳定运行，所投前置机服务器品牌具有中科软兼容性认证证书材料的得3分；</w:t>
            </w:r>
          </w:p>
          <w:p w14:paraId="3F6E7934">
            <w:pPr>
              <w:pStyle w:val="62"/>
              <w:keepNext w:val="0"/>
              <w:keepLines w:val="0"/>
              <w:pageBreakBefore w:val="0"/>
              <w:kinsoku/>
              <w:topLinePunct w:val="0"/>
              <w:autoSpaceDE/>
              <w:autoSpaceDN/>
              <w:bidi w:val="0"/>
              <w:adjustRightInd w:val="0"/>
              <w:snapToGrid w:val="0"/>
              <w:spacing w:line="360" w:lineRule="auto"/>
              <w:ind w:left="0"/>
              <w:rPr>
                <w:rFonts w:hint="eastAsia" w:ascii="宋体" w:hAnsi="宋体" w:eastAsia="宋体" w:cs="宋体"/>
                <w:bCs/>
                <w:sz w:val="24"/>
                <w:szCs w:val="24"/>
                <w:lang w:eastAsia="zh-CN"/>
              </w:rPr>
            </w:pPr>
            <w:r>
              <w:rPr>
                <w:rFonts w:hint="eastAsia" w:ascii="宋体" w:hAnsi="宋体" w:eastAsia="宋体" w:cs="宋体"/>
                <w:bCs/>
                <w:sz w:val="24"/>
                <w:szCs w:val="24"/>
                <w:lang w:eastAsia="zh-CN"/>
              </w:rPr>
              <w:t>2、服务器虚拟化软件具备国内第三方权威机构（如中国信息通信研究院、中国电子技术标准化研究院等）依据《信息技术应用创新服务器虚拟化软件技术规范》或《信息技术应用创新虚拟化云平台技术规范》等出具的产品质量测试报告，且指标通过率要求达100%的得2分。（提供测试报告关键页截图，包括测试依据的技术规范、产品测试大纲、指标通过率说明）</w:t>
            </w:r>
          </w:p>
        </w:tc>
      </w:tr>
      <w:tr w14:paraId="0C29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39" w:type="dxa"/>
            <w:vAlign w:val="center"/>
          </w:tcPr>
          <w:p w14:paraId="2519BD63">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05" w:type="dxa"/>
            <w:vAlign w:val="center"/>
          </w:tcPr>
          <w:p w14:paraId="33D1C593">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业绩</w:t>
            </w:r>
          </w:p>
        </w:tc>
        <w:tc>
          <w:tcPr>
            <w:tcW w:w="980" w:type="dxa"/>
            <w:vAlign w:val="center"/>
          </w:tcPr>
          <w:p w14:paraId="0F891552">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489" w:type="dxa"/>
            <w:vAlign w:val="center"/>
          </w:tcPr>
          <w:p w14:paraId="46288A7C">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响应供应商</w:t>
            </w:r>
            <w:r>
              <w:rPr>
                <w:rFonts w:hint="eastAsia" w:ascii="宋体" w:hAnsi="宋体" w:eastAsia="宋体" w:cs="宋体"/>
                <w:kern w:val="0"/>
                <w:sz w:val="24"/>
                <w:szCs w:val="24"/>
              </w:rPr>
              <w:t>需提供2021年1月1日以来（以合同签订日期为准），类似的产品的销售案例，提供合同复印件</w:t>
            </w:r>
            <w:r>
              <w:rPr>
                <w:rFonts w:hint="eastAsia" w:ascii="宋体" w:hAnsi="宋体" w:eastAsia="宋体" w:cs="宋体"/>
                <w:b/>
                <w:bCs/>
                <w:color w:val="auto"/>
                <w:kern w:val="0"/>
                <w:sz w:val="24"/>
                <w:szCs w:val="24"/>
                <w:u w:val="single"/>
              </w:rPr>
              <w:t>及用户联系方式</w:t>
            </w:r>
            <w:r>
              <w:rPr>
                <w:rFonts w:hint="eastAsia" w:ascii="宋体" w:hAnsi="宋体" w:eastAsia="宋体" w:cs="宋体"/>
                <w:kern w:val="0"/>
                <w:sz w:val="24"/>
                <w:szCs w:val="24"/>
              </w:rPr>
              <w:t>。每提供一份案例得1分，最多得3分。（提供供应商盖章的合同原件扫描件</w:t>
            </w:r>
            <w:r>
              <w:rPr>
                <w:rFonts w:hint="eastAsia" w:ascii="宋体" w:hAnsi="宋体" w:eastAsia="宋体" w:cs="宋体"/>
                <w:kern w:val="0"/>
                <w:sz w:val="24"/>
                <w:szCs w:val="24"/>
                <w:lang w:eastAsia="zh-CN"/>
              </w:rPr>
              <w:t>并加盖公章</w:t>
            </w:r>
            <w:r>
              <w:rPr>
                <w:rFonts w:hint="eastAsia" w:ascii="宋体" w:hAnsi="宋体" w:eastAsia="宋体" w:cs="宋体"/>
                <w:kern w:val="0"/>
                <w:sz w:val="24"/>
                <w:szCs w:val="24"/>
              </w:rPr>
              <w:t>，以合同签订时间为准。）</w:t>
            </w:r>
            <w:r>
              <w:rPr>
                <w:rStyle w:val="72"/>
                <w:rFonts w:hint="eastAsia" w:ascii="宋体" w:hAnsi="宋体" w:eastAsia="宋体" w:cs="宋体"/>
                <w:b/>
                <w:bCs/>
                <w:color w:val="auto"/>
                <w:sz w:val="24"/>
                <w:szCs w:val="24"/>
                <w:lang w:bidi="ar"/>
              </w:rPr>
              <w:t>未提供不得分，同一业主业绩不得重复得分。</w:t>
            </w:r>
          </w:p>
        </w:tc>
      </w:tr>
      <w:tr w14:paraId="6E8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9" w:type="dxa"/>
            <w:vAlign w:val="center"/>
          </w:tcPr>
          <w:p w14:paraId="004912A1">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05" w:type="dxa"/>
            <w:vAlign w:val="center"/>
          </w:tcPr>
          <w:p w14:paraId="45D48426">
            <w:pPr>
              <w:keepNext w:val="0"/>
              <w:keepLines w:val="0"/>
              <w:pageBreakBefore w:val="0"/>
              <w:widowControl/>
              <w:kinsoku/>
              <w:topLinePunct w:val="0"/>
              <w:autoSpaceDE/>
              <w:autoSpaceDN/>
              <w:bidi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项目实施方案</w:t>
            </w:r>
          </w:p>
        </w:tc>
        <w:tc>
          <w:tcPr>
            <w:tcW w:w="980" w:type="dxa"/>
            <w:vAlign w:val="center"/>
          </w:tcPr>
          <w:p w14:paraId="3B53D4A7">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489" w:type="dxa"/>
            <w:vAlign w:val="center"/>
          </w:tcPr>
          <w:p w14:paraId="33DCFF2C">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各响应单位应积极响应采购文件要求，在出具的项目建设实施方案中对采购方现有设备、物理环境以及新增设备进行有效规划设计。评委根据响应单位对项目建设需求现状的理解程度及本项目方案和产品各功能描述的详细、到位程度，理解透彻，进行分析比较、评议、综合打分。</w:t>
            </w:r>
          </w:p>
          <w:p w14:paraId="533E6B9C">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方案需求完善，设计合理，项目实施计划完整的得8分；</w:t>
            </w:r>
          </w:p>
          <w:p w14:paraId="544C0F08">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方案需求较为完善，设计且较为可行，具有项目实施计划的得5分；</w:t>
            </w:r>
            <w:bookmarkStart w:id="16" w:name="_GoBack"/>
            <w:bookmarkEnd w:id="16"/>
          </w:p>
          <w:p w14:paraId="2C117B94">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方案需求一般，设计一般，项目实施计划一般的得2分；</w:t>
            </w:r>
          </w:p>
          <w:p w14:paraId="45CCD665">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方案需求粗糙，设计不合理或不可行，项目实施计划不完整的得1分；</w:t>
            </w:r>
          </w:p>
          <w:p w14:paraId="0F785C3F">
            <w:pPr>
              <w:pStyle w:val="62"/>
              <w:keepNext w:val="0"/>
              <w:keepLines w:val="0"/>
              <w:pageBreakBefore w:val="0"/>
              <w:kinsoku/>
              <w:topLinePunct w:val="0"/>
              <w:autoSpaceDE/>
              <w:autoSpaceDN/>
              <w:bidi w:val="0"/>
              <w:spacing w:line="360" w:lineRule="auto"/>
              <w:ind w:left="0"/>
              <w:rPr>
                <w:rFonts w:hint="eastAsia" w:ascii="宋体" w:hAnsi="宋体" w:eastAsia="宋体" w:cs="宋体"/>
                <w:sz w:val="24"/>
                <w:szCs w:val="24"/>
                <w:lang w:eastAsia="zh-CN"/>
              </w:rPr>
            </w:pPr>
            <w:r>
              <w:rPr>
                <w:rFonts w:hint="eastAsia" w:ascii="宋体" w:hAnsi="宋体" w:eastAsia="宋体" w:cs="宋体"/>
                <w:sz w:val="24"/>
                <w:szCs w:val="24"/>
                <w:lang w:eastAsia="zh-CN"/>
              </w:rPr>
              <w:t>未提供不得分。</w:t>
            </w:r>
          </w:p>
        </w:tc>
      </w:tr>
      <w:tr w14:paraId="4A01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9" w:type="dxa"/>
            <w:vAlign w:val="center"/>
          </w:tcPr>
          <w:p w14:paraId="185C9F1E">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05" w:type="dxa"/>
            <w:vAlign w:val="center"/>
          </w:tcPr>
          <w:p w14:paraId="090AD408">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售后</w:t>
            </w:r>
          </w:p>
          <w:p w14:paraId="509C094C">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w:t>
            </w:r>
          </w:p>
        </w:tc>
        <w:tc>
          <w:tcPr>
            <w:tcW w:w="980" w:type="dxa"/>
            <w:vAlign w:val="center"/>
          </w:tcPr>
          <w:p w14:paraId="723B20E2">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489" w:type="dxa"/>
            <w:vAlign w:val="center"/>
          </w:tcPr>
          <w:p w14:paraId="38F0B1E3">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1、由评委根据</w:t>
            </w:r>
            <w:r>
              <w:rPr>
                <w:rFonts w:hint="eastAsia" w:ascii="宋体" w:hAnsi="宋体" w:eastAsia="宋体" w:cs="宋体"/>
                <w:sz w:val="24"/>
                <w:szCs w:val="24"/>
                <w:lang w:eastAsia="zh-CN"/>
              </w:rPr>
              <w:t>响应单位</w:t>
            </w:r>
            <w:r>
              <w:rPr>
                <w:rFonts w:hint="eastAsia" w:ascii="宋体" w:hAnsi="宋体" w:eastAsia="宋体" w:cs="宋体"/>
                <w:kern w:val="0"/>
                <w:sz w:val="24"/>
                <w:szCs w:val="24"/>
              </w:rPr>
              <w:t>提供的售后服务方案、服务体系、服务范围等内容以及故障解决方案、响应时间、应急处理方案、专业技术人员保障等进行打分。方案全面、响应及时得7分；方案较全面、响应较及时得4分；方案粗糙，响应不够及时的1分；未提供不得分。</w:t>
            </w:r>
          </w:p>
          <w:p w14:paraId="2BB78578">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lang w:eastAsia="zh-CN"/>
              </w:rPr>
              <w:t>响应单位</w:t>
            </w:r>
            <w:r>
              <w:rPr>
                <w:rFonts w:hint="eastAsia" w:ascii="宋体" w:hAnsi="宋体" w:eastAsia="宋体" w:cs="宋体"/>
                <w:kern w:val="0"/>
                <w:sz w:val="24"/>
                <w:szCs w:val="24"/>
              </w:rPr>
              <w:t>具备高效及时的响应服务能力，提供详细的售后技术支持人员姓名、联系方式、常驻办公地点等信息，同时对到达现场处理故障的响应时间进行承诺，承诺1小时内到达的可得2分；2小时内到达的可得1分；超过2小时到达的或未提供的承诺函及相关证明材料的不得分。</w:t>
            </w:r>
          </w:p>
        </w:tc>
      </w:tr>
      <w:tr w14:paraId="043E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9" w:type="dxa"/>
            <w:vAlign w:val="center"/>
          </w:tcPr>
          <w:p w14:paraId="1318A652">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005" w:type="dxa"/>
            <w:vAlign w:val="center"/>
          </w:tcPr>
          <w:p w14:paraId="77E72BBC">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节能</w:t>
            </w:r>
          </w:p>
          <w:p w14:paraId="7B532EEF">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环保</w:t>
            </w:r>
          </w:p>
        </w:tc>
        <w:tc>
          <w:tcPr>
            <w:tcW w:w="980" w:type="dxa"/>
            <w:vAlign w:val="center"/>
          </w:tcPr>
          <w:p w14:paraId="5EF41AB5">
            <w:pPr>
              <w:keepNext w:val="0"/>
              <w:keepLines w:val="0"/>
              <w:pageBreakBefore w:val="0"/>
              <w:widowControl/>
              <w:kinsoku/>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489" w:type="dxa"/>
            <w:vAlign w:val="center"/>
          </w:tcPr>
          <w:p w14:paraId="514C79BA">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产品属于财政部、国家发改委公布的“节能产品品目清单”范围内的，</w:t>
            </w:r>
            <w:r>
              <w:rPr>
                <w:rFonts w:hint="eastAsia" w:ascii="宋体" w:hAnsi="宋体" w:eastAsia="宋体" w:cs="宋体"/>
                <w:sz w:val="24"/>
                <w:szCs w:val="24"/>
                <w:lang w:eastAsia="zh-CN"/>
              </w:rPr>
              <w:t>响应单位</w:t>
            </w:r>
            <w:r>
              <w:rPr>
                <w:rFonts w:hint="eastAsia" w:ascii="宋体" w:hAnsi="宋体" w:eastAsia="宋体" w:cs="宋体"/>
                <w:kern w:val="0"/>
                <w:sz w:val="24"/>
                <w:szCs w:val="24"/>
              </w:rPr>
              <w:t>提供国家确定的认证机构出具的、处于有效期之内的该节能产品认证证书复印件的，有1个得0.5分，最多得0.5分。如</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产品均属于政府强制采购节能产品品目清单范围内，本项不得分。</w:t>
            </w:r>
          </w:p>
          <w:p w14:paraId="45DA3266">
            <w:pPr>
              <w:keepNext w:val="0"/>
              <w:keepLines w:val="0"/>
              <w:pageBreakBefore w:val="0"/>
              <w:widowControl/>
              <w:kinsoku/>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lang w:eastAsia="zh-CN"/>
              </w:rPr>
              <w:t>响应</w:t>
            </w:r>
            <w:r>
              <w:rPr>
                <w:rFonts w:hint="eastAsia" w:ascii="宋体" w:hAnsi="宋体" w:eastAsia="宋体" w:cs="宋体"/>
                <w:kern w:val="0"/>
                <w:sz w:val="24"/>
                <w:szCs w:val="24"/>
              </w:rPr>
              <w:t>产品属于财政部、生态环境部公布的“环境标志产品品目清单”范围内的，</w:t>
            </w:r>
            <w:r>
              <w:rPr>
                <w:rFonts w:hint="eastAsia" w:ascii="宋体" w:hAnsi="宋体" w:eastAsia="宋体" w:cs="宋体"/>
                <w:sz w:val="24"/>
                <w:szCs w:val="24"/>
                <w:lang w:eastAsia="zh-CN"/>
              </w:rPr>
              <w:t>响应单位</w:t>
            </w:r>
            <w:r>
              <w:rPr>
                <w:rFonts w:hint="eastAsia" w:ascii="宋体" w:hAnsi="宋体" w:eastAsia="宋体" w:cs="宋体"/>
                <w:kern w:val="0"/>
                <w:sz w:val="24"/>
                <w:szCs w:val="24"/>
              </w:rPr>
              <w:t>提供国家确定的认证机构出具的、处于有效期内的该环保产品认证证书复印件的，有1个得0.5分，最多得0.5分。</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30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30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的其他情况；</w:t>
      </w:r>
    </w:p>
    <w:p w14:paraId="3A4ADD1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11</w:t>
      </w:r>
      <w:r>
        <w:rPr>
          <w:rFonts w:hint="eastAsia" w:ascii="Times New Roman" w:hAnsi="Times New Roman" w:eastAsia="宋体" w:cs="宋体"/>
          <w:color w:val="auto"/>
          <w:sz w:val="24"/>
          <w:szCs w:val="24"/>
          <w:highlight w:val="none"/>
        </w:rPr>
        <w:t>、未按要求提供样品的（如有）。</w:t>
      </w:r>
    </w:p>
    <w:p w14:paraId="36318B7E">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120E179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5、供应商未按采购文件要求提供样品或样品提供不全的或未提供样品的（如有）；</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6、磋商小组依据法律法规可以认定为废标的其他情况。</w:t>
      </w:r>
    </w:p>
    <w:p w14:paraId="40BC607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6DAB361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7E68A1A3">
      <w:pPr>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kinsoku/>
        <w:wordWrap/>
        <w:topLinePunct w:val="0"/>
        <w:autoSpaceDE/>
        <w:autoSpaceDN/>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kinsoku/>
        <w:wordWrap/>
        <w:topLinePunct w:val="0"/>
        <w:autoSpaceDE/>
        <w:autoSpaceDN/>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kinsoku/>
        <w:wordWrap/>
        <w:topLinePunct w:val="0"/>
        <w:autoSpaceDE/>
        <w:autoSpaceDN/>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kinsoku/>
        <w:wordWrap/>
        <w:topLinePunct w:val="0"/>
        <w:autoSpaceDE/>
        <w:autoSpaceDN/>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kinsoku/>
        <w:wordWrap/>
        <w:topLinePunct w:val="0"/>
        <w:autoSpaceDE/>
        <w:autoSpaceDN/>
        <w:bidi w:val="0"/>
        <w:spacing w:line="360" w:lineRule="auto"/>
        <w:rPr>
          <w:rFonts w:ascii="Times New Roman" w:hAnsi="Times New Roman"/>
          <w:b/>
          <w:color w:val="auto"/>
          <w:sz w:val="24"/>
          <w:szCs w:val="24"/>
          <w:highlight w:val="none"/>
        </w:rPr>
      </w:pPr>
    </w:p>
    <w:p w14:paraId="7AB4BB50">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keepNext w:val="0"/>
        <w:keepLines w:val="0"/>
        <w:pageBreakBefore w:val="0"/>
        <w:kinsoku/>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供应商须具有独立法人资格，具有有效的三证合一的营业执照（或事业单位法人证书）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keepNext w:val="0"/>
        <w:keepLines w:val="0"/>
        <w:pageBreakBefore w:val="0"/>
        <w:kinsoku/>
        <w:topLinePunct w:val="0"/>
        <w:autoSpaceDE/>
        <w:autoSpaceDN/>
        <w:bidi w:val="0"/>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w:t>
      </w:r>
      <w:r>
        <w:rPr>
          <w:rFonts w:hint="eastAsia" w:ascii="Times New Roman" w:hAnsi="Times New Roman" w:eastAsia="宋体"/>
          <w:b/>
          <w:color w:val="auto"/>
          <w:sz w:val="24"/>
          <w:szCs w:val="24"/>
          <w:highlight w:val="none"/>
          <w:lang w:eastAsia="zh-CN"/>
        </w:rPr>
        <w:t>响应</w:t>
      </w:r>
      <w:r>
        <w:rPr>
          <w:rFonts w:hint="eastAsia" w:ascii="Times New Roman" w:hAnsi="Times New Roman" w:eastAsia="宋体"/>
          <w:b/>
          <w:color w:val="auto"/>
          <w:sz w:val="24"/>
          <w:szCs w:val="24"/>
          <w:highlight w:val="none"/>
        </w:rPr>
        <w:t>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lang w:eastAsia="zh-CN"/>
        </w:rPr>
        <w:t>技术</w:t>
      </w:r>
      <w:r>
        <w:rPr>
          <w:rFonts w:hint="eastAsia" w:ascii="Times New Roman" w:hAnsi="Times New Roman" w:eastAsia="宋体" w:cs="宋体"/>
          <w:bCs/>
          <w:color w:val="auto"/>
          <w:sz w:val="24"/>
          <w:szCs w:val="24"/>
          <w:highlight w:val="none"/>
        </w:rPr>
        <w:t>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5490AE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rPr>
        <w:t>商务部分正负偏离表（格式参见第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南通市第三人民医院传染病智能检测预警前置软件服务及设备项目</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南通市第三人民医院传染病智能检测预警前置软件服务及设备项目</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030B8FD7">
      <w:pPr>
        <w:keepNext w:val="0"/>
        <w:keepLines w:val="0"/>
        <w:pageBreakBefore w:val="0"/>
        <w:kinsoku/>
        <w:topLinePunct w:val="0"/>
        <w:autoSpaceDE/>
        <w:autoSpaceDN/>
        <w:bidi w:val="0"/>
        <w:spacing w:line="360" w:lineRule="auto"/>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color w:val="auto"/>
          <w:sz w:val="24"/>
          <w:szCs w:val="24"/>
          <w:highlight w:val="none"/>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0B0F116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keepNext w:val="0"/>
        <w:keepLines w:val="0"/>
        <w:pageBreakBefore w:val="0"/>
        <w:kinsoku/>
        <w:topLinePunct w:val="0"/>
        <w:autoSpaceDE/>
        <w:autoSpaceDN/>
        <w:bidi w:val="0"/>
        <w:spacing w:line="360" w:lineRule="auto"/>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bl>
    <w:p w14:paraId="1498CB8B">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keepNext w:val="0"/>
        <w:keepLines w:val="0"/>
        <w:pageBreakBefore w:val="0"/>
        <w:kinsoku/>
        <w:topLinePunct w:val="0"/>
        <w:autoSpaceDE/>
        <w:autoSpaceDN/>
        <w:bidi w:val="0"/>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7371FE56">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58B09442">
      <w:pPr>
        <w:keepNext w:val="0"/>
        <w:keepLines w:val="0"/>
        <w:pageBreakBefore w:val="0"/>
        <w:kinsoku/>
        <w:topLinePunct w:val="0"/>
        <w:autoSpaceDE/>
        <w:autoSpaceDN/>
        <w:bidi w:val="0"/>
        <w:spacing w:line="360" w:lineRule="auto"/>
        <w:jc w:val="center"/>
        <w:outlineLvl w:val="3"/>
        <w:rPr>
          <w:rFonts w:ascii="宋体" w:hAnsi="宋体"/>
          <w:b/>
          <w:color w:val="auto"/>
          <w:sz w:val="24"/>
          <w:szCs w:val="24"/>
          <w:highlight w:val="none"/>
        </w:rPr>
      </w:pPr>
      <w:r>
        <w:rPr>
          <w:rFonts w:hint="eastAsia" w:ascii="Times New Roman" w:hAnsi="Times New Roman"/>
          <w:b/>
          <w:bCs/>
          <w:color w:val="auto"/>
          <w:sz w:val="24"/>
          <w:szCs w:val="21"/>
          <w:highlight w:val="none"/>
          <w:lang w:val="en-US" w:eastAsia="zh-CN"/>
        </w:rPr>
        <w:t>7</w:t>
      </w:r>
      <w:r>
        <w:rPr>
          <w:rFonts w:hint="eastAsia" w:ascii="Times New Roman" w:hAnsi="Times New Roman"/>
          <w:b/>
          <w:bCs/>
          <w:color w:val="auto"/>
          <w:sz w:val="24"/>
          <w:szCs w:val="21"/>
          <w:highlight w:val="none"/>
        </w:rPr>
        <w:t>、技术部分正负偏离表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1455"/>
        <w:gridCol w:w="2220"/>
        <w:gridCol w:w="2720"/>
        <w:gridCol w:w="1417"/>
      </w:tblGrid>
      <w:tr w14:paraId="4D566E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43" w:type="dxa"/>
            <w:tcBorders>
              <w:top w:val="single" w:color="000000" w:sz="12" w:space="0"/>
              <w:left w:val="single" w:color="000000" w:sz="12" w:space="0"/>
              <w:bottom w:val="single" w:color="000000" w:sz="6" w:space="0"/>
              <w:right w:val="single" w:color="000000" w:sz="6" w:space="0"/>
            </w:tcBorders>
            <w:noWrap w:val="0"/>
            <w:vAlign w:val="center"/>
          </w:tcPr>
          <w:p w14:paraId="3A9F38E2">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55" w:type="dxa"/>
            <w:tcBorders>
              <w:top w:val="single" w:color="000000" w:sz="12" w:space="0"/>
              <w:left w:val="single" w:color="000000" w:sz="6" w:space="0"/>
              <w:bottom w:val="single" w:color="000000" w:sz="6" w:space="0"/>
              <w:right w:val="single" w:color="000000" w:sz="6" w:space="0"/>
            </w:tcBorders>
            <w:noWrap w:val="0"/>
            <w:vAlign w:val="center"/>
          </w:tcPr>
          <w:p w14:paraId="7A798ECD">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220" w:type="dxa"/>
            <w:tcBorders>
              <w:top w:val="single" w:color="000000" w:sz="12" w:space="0"/>
              <w:left w:val="single" w:color="000000" w:sz="6" w:space="0"/>
              <w:bottom w:val="single" w:color="000000" w:sz="6" w:space="0"/>
              <w:right w:val="single" w:color="000000" w:sz="6" w:space="0"/>
            </w:tcBorders>
            <w:noWrap w:val="0"/>
            <w:vAlign w:val="center"/>
          </w:tcPr>
          <w:p w14:paraId="44B616B8">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2DB26E88">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1A21FD4">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67F62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BC2548B">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475AD75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424B45A0">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9FAF1DA">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44C003A">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5F606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5CA98082">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0E8C6D23">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8CCAA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16C015A">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3E6449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5B392D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2627D793">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36557D0A">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430CB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CAED5E8">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33686DD">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4AD42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39D7447">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7FC562E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04D38D5">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AC42E36">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4F07219D">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bl>
    <w:p w14:paraId="670C64CB">
      <w:pPr>
        <w:keepNext w:val="0"/>
        <w:keepLines w:val="0"/>
        <w:pageBreakBefore w:val="0"/>
        <w:kinsoku/>
        <w:topLinePunct w:val="0"/>
        <w:autoSpaceDE/>
        <w:autoSpaceDN/>
        <w:bidi w:val="0"/>
        <w:spacing w:line="360" w:lineRule="auto"/>
        <w:rPr>
          <w:rFonts w:ascii="宋体" w:hAnsi="宋体"/>
          <w:color w:val="auto"/>
          <w:sz w:val="24"/>
          <w:szCs w:val="24"/>
          <w:highlight w:val="none"/>
        </w:rPr>
      </w:pPr>
    </w:p>
    <w:p w14:paraId="1CB29C14">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66F93DE1">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708E17FE">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6BE3E12C">
      <w:pPr>
        <w:keepNext w:val="0"/>
        <w:keepLines w:val="0"/>
        <w:pageBreakBefore w:val="0"/>
        <w:kinsoku/>
        <w:topLinePunct w:val="0"/>
        <w:autoSpaceDE/>
        <w:autoSpaceDN/>
        <w:bidi w:val="0"/>
        <w:spacing w:line="360" w:lineRule="auto"/>
        <w:rPr>
          <w:rFonts w:ascii="宋体" w:hAnsi="宋体"/>
          <w:color w:val="auto"/>
          <w:sz w:val="24"/>
          <w:szCs w:val="24"/>
          <w:highlight w:val="none"/>
        </w:rPr>
      </w:pPr>
    </w:p>
    <w:p w14:paraId="31A1DDC1">
      <w:pPr>
        <w:keepNext w:val="0"/>
        <w:keepLines w:val="0"/>
        <w:pageBreakBefore w:val="0"/>
        <w:kinsoku/>
        <w:topLinePunct w:val="0"/>
        <w:autoSpaceDE/>
        <w:autoSpaceDN/>
        <w:bidi w:val="0"/>
        <w:spacing w:line="360" w:lineRule="auto"/>
        <w:rPr>
          <w:rFonts w:ascii="宋体" w:hAnsi="宋体"/>
          <w:color w:val="auto"/>
          <w:sz w:val="24"/>
          <w:szCs w:val="24"/>
          <w:highlight w:val="none"/>
        </w:rPr>
      </w:pPr>
    </w:p>
    <w:p w14:paraId="099D12AE">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注：</w:t>
      </w:r>
      <w:r>
        <w:rPr>
          <w:rFonts w:hint="eastAsia" w:ascii="宋体" w:hAnsi="宋体"/>
          <w:color w:val="auto"/>
          <w:sz w:val="24"/>
          <w:szCs w:val="24"/>
          <w:highlight w:val="none"/>
          <w:lang w:val="zh-CN"/>
        </w:rPr>
        <w:t>1、供应商提交的响应文件中与采购文件第三部分“项目需求说明”中技术部分的要求有不同时，应逐条填列在偏离表中，否则将认为供应商接受采购文件的所有要求。完全响应部分不填到此表中。</w:t>
      </w:r>
    </w:p>
    <w:p w14:paraId="4FEB5B78">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4B0826F3">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3EF73CB2">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5989D276">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p>
    <w:p w14:paraId="1A86F656">
      <w:pPr>
        <w:keepNext w:val="0"/>
        <w:keepLines w:val="0"/>
        <w:pageBreakBefore w:val="0"/>
        <w:kinsoku/>
        <w:topLinePunct w:val="0"/>
        <w:autoSpaceDE/>
        <w:autoSpaceDN/>
        <w:bidi w:val="0"/>
        <w:spacing w:line="360" w:lineRule="auto"/>
        <w:jc w:val="center"/>
        <w:outlineLvl w:val="3"/>
        <w:rPr>
          <w:rFonts w:ascii="宋体" w:hAnsi="宋体"/>
          <w:b/>
          <w:color w:val="auto"/>
          <w:sz w:val="32"/>
          <w:szCs w:val="32"/>
          <w:highlight w:val="none"/>
        </w:rPr>
      </w:pPr>
      <w:r>
        <w:rPr>
          <w:rFonts w:ascii="宋体" w:hAnsi="宋体"/>
          <w:color w:val="auto"/>
          <w:sz w:val="24"/>
          <w:szCs w:val="24"/>
          <w:highlight w:val="none"/>
        </w:rPr>
        <w:br w:type="page" w:clear="all"/>
      </w:r>
      <w:r>
        <w:rPr>
          <w:rFonts w:hint="eastAsia" w:ascii="Times New Roman" w:hAnsi="Times New Roman"/>
          <w:b/>
          <w:bCs/>
          <w:color w:val="auto"/>
          <w:sz w:val="24"/>
          <w:szCs w:val="21"/>
          <w:highlight w:val="none"/>
          <w:lang w:val="en-US" w:eastAsia="zh-CN"/>
        </w:rPr>
        <w:t>8</w:t>
      </w:r>
      <w:r>
        <w:rPr>
          <w:rFonts w:hint="eastAsia" w:ascii="Times New Roman" w:hAnsi="Times New Roman"/>
          <w:b/>
          <w:bCs/>
          <w:color w:val="auto"/>
          <w:sz w:val="24"/>
          <w:szCs w:val="21"/>
          <w:highlight w:val="none"/>
        </w:rPr>
        <w:t>、商务部分正负偏离表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1496"/>
        <w:gridCol w:w="2163"/>
        <w:gridCol w:w="2720"/>
        <w:gridCol w:w="1417"/>
      </w:tblGrid>
      <w:tr w14:paraId="182910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59" w:type="dxa"/>
            <w:tcBorders>
              <w:top w:val="single" w:color="000000" w:sz="12" w:space="0"/>
              <w:left w:val="single" w:color="000000" w:sz="12" w:space="0"/>
              <w:bottom w:val="single" w:color="000000" w:sz="6" w:space="0"/>
              <w:right w:val="single" w:color="000000" w:sz="6" w:space="0"/>
            </w:tcBorders>
            <w:noWrap w:val="0"/>
            <w:vAlign w:val="center"/>
          </w:tcPr>
          <w:p w14:paraId="7B220D85">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96" w:type="dxa"/>
            <w:tcBorders>
              <w:top w:val="single" w:color="000000" w:sz="12" w:space="0"/>
              <w:left w:val="single" w:color="000000" w:sz="6" w:space="0"/>
              <w:bottom w:val="single" w:color="000000" w:sz="6" w:space="0"/>
              <w:right w:val="single" w:color="000000" w:sz="6" w:space="0"/>
            </w:tcBorders>
            <w:noWrap w:val="0"/>
            <w:vAlign w:val="center"/>
          </w:tcPr>
          <w:p w14:paraId="329EA446">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163" w:type="dxa"/>
            <w:tcBorders>
              <w:top w:val="single" w:color="000000" w:sz="12" w:space="0"/>
              <w:left w:val="single" w:color="000000" w:sz="6" w:space="0"/>
              <w:bottom w:val="single" w:color="000000" w:sz="6" w:space="0"/>
              <w:right w:val="single" w:color="000000" w:sz="6" w:space="0"/>
            </w:tcBorders>
            <w:noWrap w:val="0"/>
            <w:vAlign w:val="center"/>
          </w:tcPr>
          <w:p w14:paraId="39346240">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53005CDC">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B65853A">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4067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5B85A2CA">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5F646A8">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52E469F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35A1AA2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AA0862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29F75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788CE1FD">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6D6321F">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62AF76A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72293B9">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5867ABA">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3B6341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0BE74EC5">
            <w:pPr>
              <w:keepNext w:val="0"/>
              <w:keepLines w:val="0"/>
              <w:pageBreakBefore w:val="0"/>
              <w:kinsoku/>
              <w:topLinePunct w:val="0"/>
              <w:autoSpaceDE/>
              <w:autoSpaceDN/>
              <w:bidi w:val="0"/>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7D9F93D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26C08133">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237EE7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871D03E">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r w14:paraId="7C14A7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36D49587">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1C9F2BC6">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4E2C6CF4">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FFCD54D">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2943DF1">
            <w:pPr>
              <w:keepNext w:val="0"/>
              <w:keepLines w:val="0"/>
              <w:pageBreakBefore w:val="0"/>
              <w:kinsoku/>
              <w:topLinePunct w:val="0"/>
              <w:autoSpaceDE/>
              <w:autoSpaceDN/>
              <w:bidi w:val="0"/>
              <w:spacing w:line="360" w:lineRule="auto"/>
              <w:ind w:firstLine="480"/>
              <w:jc w:val="center"/>
              <w:rPr>
                <w:rFonts w:cs="宋体"/>
                <w:color w:val="auto"/>
                <w:sz w:val="24"/>
                <w:szCs w:val="24"/>
                <w:highlight w:val="none"/>
              </w:rPr>
            </w:pPr>
          </w:p>
        </w:tc>
      </w:tr>
    </w:tbl>
    <w:p w14:paraId="4270E1BE">
      <w:pPr>
        <w:keepNext w:val="0"/>
        <w:keepLines w:val="0"/>
        <w:pageBreakBefore w:val="0"/>
        <w:kinsoku/>
        <w:topLinePunct w:val="0"/>
        <w:autoSpaceDE/>
        <w:autoSpaceDN/>
        <w:bidi w:val="0"/>
        <w:spacing w:line="360" w:lineRule="auto"/>
        <w:rPr>
          <w:rFonts w:ascii="宋体" w:hAnsi="宋体"/>
          <w:color w:val="auto"/>
          <w:sz w:val="24"/>
          <w:szCs w:val="24"/>
          <w:highlight w:val="none"/>
        </w:rPr>
      </w:pPr>
    </w:p>
    <w:p w14:paraId="4120F7E9">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77B7CFC0">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0729F734">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0D7767EF">
      <w:pPr>
        <w:keepNext w:val="0"/>
        <w:keepLines w:val="0"/>
        <w:pageBreakBefore w:val="0"/>
        <w:kinsoku/>
        <w:topLinePunct w:val="0"/>
        <w:autoSpaceDE/>
        <w:autoSpaceDN/>
        <w:bidi w:val="0"/>
        <w:spacing w:line="360" w:lineRule="auto"/>
        <w:ind w:firstLine="482"/>
        <w:rPr>
          <w:rFonts w:ascii="宋体" w:hAnsi="宋体"/>
          <w:b/>
          <w:color w:val="auto"/>
          <w:sz w:val="24"/>
          <w:szCs w:val="24"/>
          <w:highlight w:val="none"/>
        </w:rPr>
      </w:pPr>
    </w:p>
    <w:p w14:paraId="023D9394">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注：1、供应商提交的响应文件中与采购文件第三部分“项目需求说明”中商务部分的要求有不同时，应逐条填列在偏离表中，否则将认为供应商接受采购文件的所有要求。完全响应部分不填到此表中。</w:t>
      </w:r>
    </w:p>
    <w:p w14:paraId="41F6D0B5">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35604A94">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15066F08">
      <w:pPr>
        <w:keepNext w:val="0"/>
        <w:keepLines w:val="0"/>
        <w:pageBreakBefore w:val="0"/>
        <w:kinsoku/>
        <w:topLinePunct w:val="0"/>
        <w:autoSpaceDE/>
        <w:autoSpaceDN/>
        <w:bidi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079ECEDB">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2B9F3D50">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9</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南通市第三人民医院传染病智能检测预警前置软件服务及设备项目</w:t>
      </w:r>
    </w:p>
    <w:tbl>
      <w:tblPr>
        <w:tblStyle w:val="25"/>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南通市第三人民医院传染病智能检测预警前置软件服务及设备项目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2"/>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2"/>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磋商响应报价明细表</w:t>
      </w:r>
    </w:p>
    <w:p w14:paraId="6BA8BFFC">
      <w:pPr>
        <w:keepNext w:val="0"/>
        <w:keepLines w:val="0"/>
        <w:pageBreakBefore w:val="0"/>
        <w:kinsoku/>
        <w:topLinePunct w:val="0"/>
        <w:autoSpaceDE/>
        <w:autoSpaceDN/>
        <w:bidi w:val="0"/>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南通市第三人民医院传染病智能检测预警前置软件服务及设备项目</w:t>
      </w:r>
    </w:p>
    <w:tbl>
      <w:tblPr>
        <w:tblStyle w:val="25"/>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1545"/>
        <w:gridCol w:w="1176"/>
        <w:gridCol w:w="915"/>
        <w:gridCol w:w="1065"/>
        <w:gridCol w:w="1110"/>
        <w:gridCol w:w="1095"/>
        <w:gridCol w:w="945"/>
        <w:gridCol w:w="900"/>
      </w:tblGrid>
      <w:tr w14:paraId="735B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72" w:type="dxa"/>
            <w:noWrap w:val="0"/>
            <w:vAlign w:val="center"/>
          </w:tcPr>
          <w:p w14:paraId="3FA88FE9">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序号</w:t>
            </w:r>
          </w:p>
        </w:tc>
        <w:tc>
          <w:tcPr>
            <w:tcW w:w="1545" w:type="dxa"/>
            <w:noWrap w:val="0"/>
            <w:vAlign w:val="center"/>
          </w:tcPr>
          <w:p w14:paraId="4B41B2C7">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产品</w:t>
            </w:r>
          </w:p>
          <w:p w14:paraId="40756DED">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或服务</w:t>
            </w:r>
            <w:r>
              <w:rPr>
                <w:rFonts w:hint="eastAsia" w:ascii="Times New Roman" w:hAnsi="Times New Roman" w:eastAsia="宋体"/>
                <w:color w:val="auto"/>
                <w:sz w:val="24"/>
                <w:szCs w:val="24"/>
                <w:highlight w:val="none"/>
              </w:rPr>
              <w:t>名称</w:t>
            </w:r>
          </w:p>
        </w:tc>
        <w:tc>
          <w:tcPr>
            <w:tcW w:w="1176" w:type="dxa"/>
            <w:noWrap w:val="0"/>
            <w:vAlign w:val="center"/>
          </w:tcPr>
          <w:p w14:paraId="70F0873F">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规格型号</w:t>
            </w:r>
          </w:p>
        </w:tc>
        <w:tc>
          <w:tcPr>
            <w:tcW w:w="915" w:type="dxa"/>
            <w:noWrap w:val="0"/>
            <w:vAlign w:val="center"/>
          </w:tcPr>
          <w:p w14:paraId="743DBA40">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数量</w:t>
            </w:r>
          </w:p>
        </w:tc>
        <w:tc>
          <w:tcPr>
            <w:tcW w:w="1065" w:type="dxa"/>
            <w:noWrap w:val="0"/>
            <w:vAlign w:val="center"/>
          </w:tcPr>
          <w:p w14:paraId="4C758A52">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单位</w:t>
            </w:r>
          </w:p>
        </w:tc>
        <w:tc>
          <w:tcPr>
            <w:tcW w:w="1110" w:type="dxa"/>
            <w:noWrap w:val="0"/>
            <w:vAlign w:val="center"/>
          </w:tcPr>
          <w:p w14:paraId="67AE5074">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品牌</w:t>
            </w:r>
          </w:p>
        </w:tc>
        <w:tc>
          <w:tcPr>
            <w:tcW w:w="1095" w:type="dxa"/>
            <w:noWrap w:val="0"/>
            <w:vAlign w:val="center"/>
          </w:tcPr>
          <w:p w14:paraId="3AB02E90">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75FB1B90">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单价</w:t>
            </w:r>
          </w:p>
        </w:tc>
        <w:tc>
          <w:tcPr>
            <w:tcW w:w="945" w:type="dxa"/>
            <w:noWrap w:val="0"/>
            <w:vAlign w:val="center"/>
          </w:tcPr>
          <w:p w14:paraId="2442C257">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1B238FAA">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合价</w:t>
            </w:r>
          </w:p>
        </w:tc>
        <w:tc>
          <w:tcPr>
            <w:tcW w:w="900" w:type="dxa"/>
            <w:noWrap w:val="0"/>
            <w:vAlign w:val="center"/>
          </w:tcPr>
          <w:p w14:paraId="7A201DF4">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备注</w:t>
            </w:r>
          </w:p>
        </w:tc>
      </w:tr>
      <w:tr w14:paraId="73A2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772" w:type="dxa"/>
            <w:noWrap w:val="0"/>
            <w:vAlign w:val="center"/>
          </w:tcPr>
          <w:p w14:paraId="025E06EF">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p>
        </w:tc>
        <w:tc>
          <w:tcPr>
            <w:tcW w:w="1545" w:type="dxa"/>
            <w:noWrap w:val="0"/>
            <w:vAlign w:val="center"/>
          </w:tcPr>
          <w:p w14:paraId="42F237BB">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76" w:type="dxa"/>
            <w:noWrap w:val="0"/>
            <w:vAlign w:val="center"/>
          </w:tcPr>
          <w:p w14:paraId="18ABDF5D">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4361C3F9">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34BF0AA2">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411F1D0">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0D497529">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1C5109EE">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25116A65">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2EEA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72" w:type="dxa"/>
            <w:noWrap w:val="0"/>
            <w:vAlign w:val="center"/>
          </w:tcPr>
          <w:p w14:paraId="3341AE59">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p>
        </w:tc>
        <w:tc>
          <w:tcPr>
            <w:tcW w:w="1545" w:type="dxa"/>
            <w:noWrap w:val="0"/>
            <w:vAlign w:val="center"/>
          </w:tcPr>
          <w:p w14:paraId="76AA0FC3">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76" w:type="dxa"/>
            <w:noWrap w:val="0"/>
            <w:vAlign w:val="center"/>
          </w:tcPr>
          <w:p w14:paraId="344A520C">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04DDA457">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70F678E3">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FE35AA2">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24A6E6FD">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0DDA2580">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27026EE3">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6830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72" w:type="dxa"/>
            <w:noWrap w:val="0"/>
            <w:vAlign w:val="center"/>
          </w:tcPr>
          <w:p w14:paraId="4599F780">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w:t>
            </w:r>
          </w:p>
        </w:tc>
        <w:tc>
          <w:tcPr>
            <w:tcW w:w="1545" w:type="dxa"/>
            <w:noWrap w:val="0"/>
            <w:vAlign w:val="center"/>
          </w:tcPr>
          <w:p w14:paraId="1F820A7E">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76" w:type="dxa"/>
            <w:noWrap w:val="0"/>
            <w:vAlign w:val="center"/>
          </w:tcPr>
          <w:p w14:paraId="1D8871F3">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635F53DC">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1CFB070D">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0D4857B">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3BD6D9FE">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266FA1A1">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4D74FC22">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5A2C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72" w:type="dxa"/>
            <w:noWrap w:val="0"/>
            <w:vAlign w:val="center"/>
          </w:tcPr>
          <w:p w14:paraId="2FCCAA1E">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w:t>
            </w:r>
          </w:p>
        </w:tc>
        <w:tc>
          <w:tcPr>
            <w:tcW w:w="1545" w:type="dxa"/>
            <w:noWrap w:val="0"/>
            <w:vAlign w:val="center"/>
          </w:tcPr>
          <w:p w14:paraId="4965359C">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76" w:type="dxa"/>
            <w:noWrap w:val="0"/>
            <w:vAlign w:val="center"/>
          </w:tcPr>
          <w:p w14:paraId="6367EE48">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6E64DC47">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BD4D9EC">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78F8E342">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5E5A94A1">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7671AA31">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34FD3D28">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7628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72" w:type="dxa"/>
            <w:noWrap w:val="0"/>
            <w:vAlign w:val="center"/>
          </w:tcPr>
          <w:p w14:paraId="552119FB">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5</w:t>
            </w:r>
          </w:p>
        </w:tc>
        <w:tc>
          <w:tcPr>
            <w:tcW w:w="1545" w:type="dxa"/>
            <w:noWrap w:val="0"/>
            <w:vAlign w:val="center"/>
          </w:tcPr>
          <w:p w14:paraId="319F4610">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76" w:type="dxa"/>
            <w:noWrap w:val="0"/>
            <w:vAlign w:val="center"/>
          </w:tcPr>
          <w:p w14:paraId="1342B0E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4B70023C">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A8732DF">
            <w:pPr>
              <w:keepNext w:val="0"/>
              <w:keepLines w:val="0"/>
              <w:pageBreakBefore w:val="0"/>
              <w:kinsoku/>
              <w:topLinePunct w:val="0"/>
              <w:autoSpaceDE/>
              <w:autoSpaceDN/>
              <w:bidi w:val="0"/>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31DE27A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124F35D0">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5FCC3948">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1FDE168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10F3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72" w:type="dxa"/>
            <w:noWrap w:val="0"/>
            <w:vAlign w:val="center"/>
          </w:tcPr>
          <w:p w14:paraId="24A7C95F">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w:t>
            </w:r>
          </w:p>
        </w:tc>
        <w:tc>
          <w:tcPr>
            <w:tcW w:w="1545" w:type="dxa"/>
            <w:noWrap w:val="0"/>
            <w:vAlign w:val="center"/>
          </w:tcPr>
          <w:p w14:paraId="71C667FC">
            <w:pPr>
              <w:keepNext w:val="0"/>
              <w:keepLines w:val="0"/>
              <w:pageBreakBefore w:val="0"/>
              <w:kinsoku/>
              <w:topLinePunct w:val="0"/>
              <w:autoSpaceDE/>
              <w:autoSpaceDN/>
              <w:bidi w:val="0"/>
              <w:spacing w:line="360" w:lineRule="auto"/>
              <w:jc w:val="center"/>
              <w:rPr>
                <w:rFonts w:ascii="Times New Roman" w:hAnsi="Times New Roman" w:eastAsia="宋体"/>
                <w:color w:val="auto"/>
                <w:sz w:val="21"/>
                <w:highlight w:val="none"/>
              </w:rPr>
            </w:pPr>
          </w:p>
        </w:tc>
        <w:tc>
          <w:tcPr>
            <w:tcW w:w="1176" w:type="dxa"/>
            <w:noWrap w:val="0"/>
            <w:vAlign w:val="center"/>
          </w:tcPr>
          <w:p w14:paraId="094E06B4">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15" w:type="dxa"/>
            <w:noWrap w:val="0"/>
            <w:vAlign w:val="center"/>
          </w:tcPr>
          <w:p w14:paraId="3888450B">
            <w:pPr>
              <w:keepNext w:val="0"/>
              <w:keepLines w:val="0"/>
              <w:pageBreakBefore w:val="0"/>
              <w:kinsoku/>
              <w:topLinePunct w:val="0"/>
              <w:autoSpaceDE/>
              <w:autoSpaceDN/>
              <w:bidi w:val="0"/>
              <w:spacing w:line="360" w:lineRule="auto"/>
              <w:jc w:val="center"/>
              <w:rPr>
                <w:rFonts w:ascii="Times New Roman" w:hAnsi="Times New Roman" w:eastAsia="宋体"/>
                <w:color w:val="auto"/>
                <w:sz w:val="21"/>
                <w:highlight w:val="none"/>
              </w:rPr>
            </w:pPr>
          </w:p>
        </w:tc>
        <w:tc>
          <w:tcPr>
            <w:tcW w:w="1065" w:type="dxa"/>
            <w:noWrap w:val="0"/>
            <w:vAlign w:val="center"/>
          </w:tcPr>
          <w:p w14:paraId="2F74F957">
            <w:pPr>
              <w:keepNext w:val="0"/>
              <w:keepLines w:val="0"/>
              <w:pageBreakBefore w:val="0"/>
              <w:kinsoku/>
              <w:topLinePunct w:val="0"/>
              <w:autoSpaceDE/>
              <w:autoSpaceDN/>
              <w:bidi w:val="0"/>
              <w:spacing w:line="360" w:lineRule="auto"/>
              <w:jc w:val="center"/>
              <w:rPr>
                <w:rFonts w:ascii="Times New Roman" w:hAnsi="Times New Roman" w:eastAsia="宋体"/>
                <w:color w:val="auto"/>
                <w:sz w:val="21"/>
                <w:highlight w:val="none"/>
              </w:rPr>
            </w:pPr>
          </w:p>
        </w:tc>
        <w:tc>
          <w:tcPr>
            <w:tcW w:w="1110" w:type="dxa"/>
            <w:noWrap w:val="0"/>
            <w:vAlign w:val="center"/>
          </w:tcPr>
          <w:p w14:paraId="3228FC5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1095" w:type="dxa"/>
            <w:noWrap w:val="0"/>
            <w:vAlign w:val="center"/>
          </w:tcPr>
          <w:p w14:paraId="7E8107B2">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45" w:type="dxa"/>
            <w:noWrap w:val="0"/>
            <w:vAlign w:val="center"/>
          </w:tcPr>
          <w:p w14:paraId="5A9327D8">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c>
          <w:tcPr>
            <w:tcW w:w="900" w:type="dxa"/>
            <w:noWrap w:val="0"/>
            <w:vAlign w:val="top"/>
          </w:tcPr>
          <w:p w14:paraId="64A2014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r w14:paraId="3674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623" w:type="dxa"/>
            <w:gridSpan w:val="8"/>
            <w:noWrap w:val="0"/>
            <w:vAlign w:val="center"/>
          </w:tcPr>
          <w:p w14:paraId="3F588196">
            <w:pPr>
              <w:keepNext w:val="0"/>
              <w:keepLines w:val="0"/>
              <w:pageBreakBefore w:val="0"/>
              <w:kinsoku/>
              <w:topLinePunct w:val="0"/>
              <w:autoSpaceDE/>
              <w:autoSpaceDN/>
              <w:bidi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总计：</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rPr>
              <w:t>元</w:t>
            </w:r>
          </w:p>
        </w:tc>
        <w:tc>
          <w:tcPr>
            <w:tcW w:w="900" w:type="dxa"/>
            <w:noWrap w:val="0"/>
            <w:vAlign w:val="top"/>
          </w:tcPr>
          <w:p w14:paraId="6FDB9207">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p>
        </w:tc>
      </w:tr>
    </w:tbl>
    <w:p w14:paraId="0D163AE5">
      <w:pPr>
        <w:pStyle w:val="43"/>
        <w:keepNext w:val="0"/>
        <w:keepLines w:val="0"/>
        <w:pageBreakBefore w:val="0"/>
        <w:kinsoku/>
        <w:topLinePunct w:val="0"/>
        <w:autoSpaceDE/>
        <w:autoSpaceDN/>
        <w:bidi w:val="0"/>
        <w:spacing w:line="360" w:lineRule="auto"/>
        <w:rPr>
          <w:rFonts w:hint="eastAsia"/>
          <w:color w:val="auto"/>
          <w:highlight w:val="none"/>
        </w:rPr>
      </w:pPr>
    </w:p>
    <w:p w14:paraId="1F65E131">
      <w:pPr>
        <w:keepNext w:val="0"/>
        <w:keepLines w:val="0"/>
        <w:pageBreakBefore w:val="0"/>
        <w:kinsoku/>
        <w:topLinePunct w:val="0"/>
        <w:autoSpaceDE/>
        <w:autoSpaceDN/>
        <w:bidi w:val="0"/>
        <w:spacing w:line="360" w:lineRule="auto"/>
        <w:ind w:firstLine="480" w:firstLineChars="200"/>
        <w:rPr>
          <w:rFonts w:ascii="宋体" w:hAnsi="宋体"/>
          <w:bCs/>
          <w:color w:val="auto"/>
          <w:sz w:val="24"/>
          <w:highlight w:val="none"/>
        </w:rPr>
      </w:pPr>
      <w:r>
        <w:rPr>
          <w:rFonts w:hint="eastAsia" w:ascii="宋体" w:hAnsi="宋体" w:eastAsia="宋体" w:cs="宋体"/>
          <w:color w:val="auto"/>
          <w:sz w:val="24"/>
          <w:szCs w:val="24"/>
          <w:highlight w:val="none"/>
        </w:rPr>
        <w:t>注：</w:t>
      </w:r>
      <w:r>
        <w:rPr>
          <w:rFonts w:hint="eastAsia" w:ascii="宋体" w:hAnsi="宋体"/>
          <w:bCs/>
          <w:color w:val="auto"/>
          <w:sz w:val="24"/>
          <w:highlight w:val="none"/>
        </w:rPr>
        <w:t>1、最终磋商总价报价将在磋商现场填写，响应文件首次提交时只需填写本明细表和首次磋商总价报价。</w:t>
      </w:r>
    </w:p>
    <w:p w14:paraId="4AE4707F">
      <w:pPr>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2、本表格可根据需求自行调整。</w:t>
      </w:r>
    </w:p>
    <w:p w14:paraId="26A8015B">
      <w:pPr>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3、如果不提供本表将视为未实质性响应磋商文件要求。</w:t>
      </w:r>
    </w:p>
    <w:p w14:paraId="2FF97110">
      <w:pPr>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4、如果按各分项报价计算的结果与总价不一致，以各分项报价为准，修正总价。</w:t>
      </w:r>
    </w:p>
    <w:p w14:paraId="243B4004">
      <w:pPr>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w:t>
      </w:r>
      <w:r>
        <w:rPr>
          <w:rFonts w:hint="eastAsia" w:ascii="宋体" w:hAnsi="宋体"/>
          <w:bCs/>
          <w:color w:val="auto"/>
          <w:sz w:val="24"/>
          <w:highlight w:val="none"/>
        </w:rPr>
        <w:t>本表</w:t>
      </w:r>
      <w:r>
        <w:rPr>
          <w:rFonts w:hint="eastAsia" w:ascii="宋体" w:hAnsi="宋体"/>
          <w:bCs/>
          <w:color w:val="auto"/>
          <w:sz w:val="24"/>
          <w:highlight w:val="none"/>
          <w:lang w:eastAsia="zh-CN"/>
        </w:rPr>
        <w:t>响应</w:t>
      </w:r>
      <w:r>
        <w:rPr>
          <w:rFonts w:hint="eastAsia" w:ascii="宋体" w:hAnsi="宋体"/>
          <w:bCs/>
          <w:color w:val="auto"/>
          <w:sz w:val="24"/>
          <w:highlight w:val="none"/>
        </w:rPr>
        <w:t>总报价（以人民币计价）应</w:t>
      </w:r>
      <w:r>
        <w:rPr>
          <w:rFonts w:hint="eastAsia" w:ascii="宋体" w:hAnsi="宋体"/>
          <w:bCs/>
          <w:color w:val="auto"/>
          <w:sz w:val="24"/>
          <w:highlight w:val="none"/>
          <w:lang w:eastAsia="zh-CN"/>
        </w:rPr>
        <w:t>包含但不限于</w:t>
      </w:r>
      <w:r>
        <w:rPr>
          <w:rFonts w:hint="eastAsia" w:ascii="宋体" w:hAnsi="宋体"/>
          <w:bCs/>
          <w:color w:val="auto"/>
          <w:sz w:val="24"/>
          <w:highlight w:val="none"/>
        </w:rPr>
        <w:t>成本、利润、税金、开办费、政策性调整风险费等的所有费用；辅材费、人工费、检测费、管理费；国家税务部门规定的各项税金；相关伴随服务以及售后服务等一切费用</w:t>
      </w:r>
      <w:r>
        <w:rPr>
          <w:rFonts w:hint="eastAsia" w:ascii="宋体" w:hAnsi="宋体"/>
          <w:bCs/>
          <w:color w:val="auto"/>
          <w:sz w:val="24"/>
          <w:highlight w:val="none"/>
          <w:lang w:eastAsia="zh-CN"/>
        </w:rPr>
        <w:t>；</w:t>
      </w:r>
      <w:r>
        <w:rPr>
          <w:rFonts w:hint="eastAsia" w:ascii="宋体" w:hAnsi="宋体"/>
          <w:bCs/>
          <w:color w:val="auto"/>
          <w:sz w:val="24"/>
          <w:highlight w:val="none"/>
        </w:rPr>
        <w:t>即本项目采购的货物交付使用前的所有费用以及免费质保期内的服务费用等包含响应</w:t>
      </w:r>
      <w:r>
        <w:rPr>
          <w:rFonts w:hint="eastAsia" w:ascii="宋体" w:hAnsi="宋体"/>
          <w:bCs/>
          <w:color w:val="auto"/>
          <w:sz w:val="24"/>
          <w:highlight w:val="none"/>
          <w:lang w:eastAsia="zh-CN"/>
        </w:rPr>
        <w:t>磋商</w:t>
      </w:r>
      <w:r>
        <w:rPr>
          <w:rFonts w:hint="eastAsia" w:ascii="宋体" w:hAnsi="宋体"/>
          <w:bCs/>
          <w:color w:val="auto"/>
          <w:sz w:val="24"/>
          <w:highlight w:val="none"/>
        </w:rPr>
        <w:t>文件采购要求的所有费用。同时，报价也包含了合同履行过程中可能发生的一切风险</w:t>
      </w:r>
      <w:r>
        <w:rPr>
          <w:rFonts w:hint="eastAsia" w:ascii="宋体" w:hAnsi="宋体"/>
          <w:bCs/>
          <w:color w:val="auto"/>
          <w:sz w:val="24"/>
          <w:highlight w:val="none"/>
          <w:lang w:eastAsia="zh-CN"/>
        </w:rPr>
        <w:t>。</w:t>
      </w:r>
    </w:p>
    <w:p w14:paraId="0F7502EF">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ingFangSC-Regular-Identity-H">
    <w:altName w:val="Segoe Print"/>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229B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1FE34D3"/>
    <w:rsid w:val="02117D9A"/>
    <w:rsid w:val="0232372D"/>
    <w:rsid w:val="02F619EC"/>
    <w:rsid w:val="031A3274"/>
    <w:rsid w:val="032341C5"/>
    <w:rsid w:val="03A83A42"/>
    <w:rsid w:val="03E379A2"/>
    <w:rsid w:val="041E22FB"/>
    <w:rsid w:val="0475016D"/>
    <w:rsid w:val="05D721F2"/>
    <w:rsid w:val="08D1180B"/>
    <w:rsid w:val="0A2543E3"/>
    <w:rsid w:val="0A2830AC"/>
    <w:rsid w:val="0A5D1C72"/>
    <w:rsid w:val="0A727010"/>
    <w:rsid w:val="0B462863"/>
    <w:rsid w:val="0BE5207C"/>
    <w:rsid w:val="0CD77836"/>
    <w:rsid w:val="0DEA1BCB"/>
    <w:rsid w:val="0E6C4D9F"/>
    <w:rsid w:val="0FB9436E"/>
    <w:rsid w:val="10E548CC"/>
    <w:rsid w:val="10EF15A7"/>
    <w:rsid w:val="115B540E"/>
    <w:rsid w:val="122D2FC9"/>
    <w:rsid w:val="133E3283"/>
    <w:rsid w:val="139A7BF0"/>
    <w:rsid w:val="14EA7E81"/>
    <w:rsid w:val="151421A8"/>
    <w:rsid w:val="15253159"/>
    <w:rsid w:val="155F3D53"/>
    <w:rsid w:val="157C1E87"/>
    <w:rsid w:val="159468C1"/>
    <w:rsid w:val="15C2217E"/>
    <w:rsid w:val="15D63BCC"/>
    <w:rsid w:val="15F6320B"/>
    <w:rsid w:val="16593DC0"/>
    <w:rsid w:val="17BF578A"/>
    <w:rsid w:val="17F32EE2"/>
    <w:rsid w:val="18117D55"/>
    <w:rsid w:val="18263421"/>
    <w:rsid w:val="197308CB"/>
    <w:rsid w:val="197565C6"/>
    <w:rsid w:val="1A18186E"/>
    <w:rsid w:val="1B4F155D"/>
    <w:rsid w:val="1C503906"/>
    <w:rsid w:val="1DE432AC"/>
    <w:rsid w:val="1E163551"/>
    <w:rsid w:val="1F0C4400"/>
    <w:rsid w:val="1F8E2FE8"/>
    <w:rsid w:val="203A77C4"/>
    <w:rsid w:val="21404558"/>
    <w:rsid w:val="21450846"/>
    <w:rsid w:val="21B43D41"/>
    <w:rsid w:val="224E366C"/>
    <w:rsid w:val="22D402FC"/>
    <w:rsid w:val="2335285B"/>
    <w:rsid w:val="252E676F"/>
    <w:rsid w:val="25E0597D"/>
    <w:rsid w:val="272A0E68"/>
    <w:rsid w:val="274D0351"/>
    <w:rsid w:val="27DE22E9"/>
    <w:rsid w:val="286D194F"/>
    <w:rsid w:val="28885E11"/>
    <w:rsid w:val="28F53B49"/>
    <w:rsid w:val="29C97C61"/>
    <w:rsid w:val="2B9F25ED"/>
    <w:rsid w:val="2BD6675A"/>
    <w:rsid w:val="2C5A6960"/>
    <w:rsid w:val="2C6E5A4D"/>
    <w:rsid w:val="2CC8252C"/>
    <w:rsid w:val="2CCE28B7"/>
    <w:rsid w:val="2D0068BE"/>
    <w:rsid w:val="2D547055"/>
    <w:rsid w:val="2DD824AC"/>
    <w:rsid w:val="2E672C1C"/>
    <w:rsid w:val="2E947E48"/>
    <w:rsid w:val="2F837332"/>
    <w:rsid w:val="30A401EF"/>
    <w:rsid w:val="322E658F"/>
    <w:rsid w:val="32347FCD"/>
    <w:rsid w:val="32593CE2"/>
    <w:rsid w:val="32D85BE7"/>
    <w:rsid w:val="3329796B"/>
    <w:rsid w:val="34700A2F"/>
    <w:rsid w:val="34C5163B"/>
    <w:rsid w:val="358D4A67"/>
    <w:rsid w:val="35947F61"/>
    <w:rsid w:val="35CA34F6"/>
    <w:rsid w:val="35CB4299"/>
    <w:rsid w:val="35EB4569"/>
    <w:rsid w:val="36161DCC"/>
    <w:rsid w:val="366867C2"/>
    <w:rsid w:val="37092C7D"/>
    <w:rsid w:val="38594DC9"/>
    <w:rsid w:val="385F6F0F"/>
    <w:rsid w:val="388D2136"/>
    <w:rsid w:val="396E11A3"/>
    <w:rsid w:val="39780A9F"/>
    <w:rsid w:val="3A3E6499"/>
    <w:rsid w:val="3AAB1168"/>
    <w:rsid w:val="3C2C44E9"/>
    <w:rsid w:val="3CA14B12"/>
    <w:rsid w:val="3DA05553"/>
    <w:rsid w:val="3DBB06FA"/>
    <w:rsid w:val="3DEA6E32"/>
    <w:rsid w:val="3DF31169"/>
    <w:rsid w:val="3E246184"/>
    <w:rsid w:val="3EF274D2"/>
    <w:rsid w:val="3F13120C"/>
    <w:rsid w:val="3FBC10C9"/>
    <w:rsid w:val="401C35B7"/>
    <w:rsid w:val="40423602"/>
    <w:rsid w:val="4080750E"/>
    <w:rsid w:val="40FE795C"/>
    <w:rsid w:val="42024E02"/>
    <w:rsid w:val="420764B5"/>
    <w:rsid w:val="422B5D33"/>
    <w:rsid w:val="425D1C65"/>
    <w:rsid w:val="42672AE3"/>
    <w:rsid w:val="440A15A0"/>
    <w:rsid w:val="442B555F"/>
    <w:rsid w:val="448734FB"/>
    <w:rsid w:val="44972DA7"/>
    <w:rsid w:val="4561465A"/>
    <w:rsid w:val="45983BDF"/>
    <w:rsid w:val="459E47A7"/>
    <w:rsid w:val="46CD07F9"/>
    <w:rsid w:val="47693BAF"/>
    <w:rsid w:val="482C45B3"/>
    <w:rsid w:val="486E3206"/>
    <w:rsid w:val="48FE0BAD"/>
    <w:rsid w:val="49111B67"/>
    <w:rsid w:val="49727F94"/>
    <w:rsid w:val="49DC3654"/>
    <w:rsid w:val="4A324B44"/>
    <w:rsid w:val="4ACD5C5A"/>
    <w:rsid w:val="4B840262"/>
    <w:rsid w:val="4BE75A2A"/>
    <w:rsid w:val="4C510AF8"/>
    <w:rsid w:val="4E46218F"/>
    <w:rsid w:val="4EBA73A4"/>
    <w:rsid w:val="4FA520EA"/>
    <w:rsid w:val="4FC139BA"/>
    <w:rsid w:val="502E6EFE"/>
    <w:rsid w:val="5035522F"/>
    <w:rsid w:val="5073127E"/>
    <w:rsid w:val="515F3303"/>
    <w:rsid w:val="53A23A14"/>
    <w:rsid w:val="54120D39"/>
    <w:rsid w:val="542A6B2C"/>
    <w:rsid w:val="544F229E"/>
    <w:rsid w:val="55385BD7"/>
    <w:rsid w:val="56400311"/>
    <w:rsid w:val="56E5418D"/>
    <w:rsid w:val="584274DB"/>
    <w:rsid w:val="585A4B1B"/>
    <w:rsid w:val="599B1D79"/>
    <w:rsid w:val="5A4C01FF"/>
    <w:rsid w:val="5A8F2AFB"/>
    <w:rsid w:val="5A91106B"/>
    <w:rsid w:val="5AD25AC4"/>
    <w:rsid w:val="5B02520C"/>
    <w:rsid w:val="5BD838E7"/>
    <w:rsid w:val="5BD91F04"/>
    <w:rsid w:val="5C855626"/>
    <w:rsid w:val="5EE01142"/>
    <w:rsid w:val="5FD76DB9"/>
    <w:rsid w:val="60032852"/>
    <w:rsid w:val="60480F23"/>
    <w:rsid w:val="61946007"/>
    <w:rsid w:val="61BD1D0E"/>
    <w:rsid w:val="62576DD9"/>
    <w:rsid w:val="633D4A8B"/>
    <w:rsid w:val="640E3A9F"/>
    <w:rsid w:val="64191A38"/>
    <w:rsid w:val="64ED5461"/>
    <w:rsid w:val="64FB113D"/>
    <w:rsid w:val="658F2EA6"/>
    <w:rsid w:val="659772A6"/>
    <w:rsid w:val="6742329A"/>
    <w:rsid w:val="675F7512"/>
    <w:rsid w:val="67BC1571"/>
    <w:rsid w:val="683A4AF4"/>
    <w:rsid w:val="68A31FFC"/>
    <w:rsid w:val="68A84122"/>
    <w:rsid w:val="68AD6BF3"/>
    <w:rsid w:val="696E2E35"/>
    <w:rsid w:val="6A585565"/>
    <w:rsid w:val="6A721EA2"/>
    <w:rsid w:val="6AB53F04"/>
    <w:rsid w:val="6AE32C8B"/>
    <w:rsid w:val="6C1132E7"/>
    <w:rsid w:val="6D600F61"/>
    <w:rsid w:val="6D632A3D"/>
    <w:rsid w:val="6E9616EC"/>
    <w:rsid w:val="6F1F4B5D"/>
    <w:rsid w:val="6F3A3EBA"/>
    <w:rsid w:val="700D0A38"/>
    <w:rsid w:val="70541114"/>
    <w:rsid w:val="707A560C"/>
    <w:rsid w:val="709F75B6"/>
    <w:rsid w:val="70B054D2"/>
    <w:rsid w:val="712D5BF6"/>
    <w:rsid w:val="71AD12AD"/>
    <w:rsid w:val="71EA5EF0"/>
    <w:rsid w:val="720C2DA1"/>
    <w:rsid w:val="72BC7378"/>
    <w:rsid w:val="72BF1288"/>
    <w:rsid w:val="73392B0C"/>
    <w:rsid w:val="74266144"/>
    <w:rsid w:val="75363ACC"/>
    <w:rsid w:val="75652356"/>
    <w:rsid w:val="762F76F3"/>
    <w:rsid w:val="76876CD5"/>
    <w:rsid w:val="76B22FC1"/>
    <w:rsid w:val="76DF48EB"/>
    <w:rsid w:val="787C19CC"/>
    <w:rsid w:val="79173AC2"/>
    <w:rsid w:val="79691823"/>
    <w:rsid w:val="798C7570"/>
    <w:rsid w:val="7A0B19CB"/>
    <w:rsid w:val="7B0A1E99"/>
    <w:rsid w:val="7B85422E"/>
    <w:rsid w:val="7C1A2204"/>
    <w:rsid w:val="7C462374"/>
    <w:rsid w:val="7CE50645"/>
    <w:rsid w:val="7CEA7ECD"/>
    <w:rsid w:val="7D5A2578"/>
    <w:rsid w:val="7DFB122D"/>
    <w:rsid w:val="7E633C7C"/>
    <w:rsid w:val="7EFD3971"/>
    <w:rsid w:val="7F4A0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1"/>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52"/>
    <w:autoRedefine/>
    <w:semiHidden/>
    <w:unhideWhenUsed/>
    <w:qFormat/>
    <w:uiPriority w:val="99"/>
    <w:rPr>
      <w:rFonts w:ascii="宋体" w:eastAsia="宋体"/>
      <w:sz w:val="18"/>
      <w:szCs w:val="18"/>
    </w:rPr>
  </w:style>
  <w:style w:type="paragraph" w:styleId="7">
    <w:name w:val="toa heading"/>
    <w:basedOn w:val="1"/>
    <w:next w:val="1"/>
    <w:autoRedefine/>
    <w:qFormat/>
    <w:uiPriority w:val="0"/>
    <w:rPr>
      <w:rFonts w:ascii="Arial" w:hAnsi="Arial" w:eastAsia="宋体" w:cs="Times New Roman"/>
      <w:sz w:val="24"/>
      <w:szCs w:val="21"/>
    </w:rPr>
  </w:style>
  <w:style w:type="paragraph" w:styleId="8">
    <w:name w:val="annotation text"/>
    <w:basedOn w:val="1"/>
    <w:link w:val="55"/>
    <w:autoRedefine/>
    <w:semiHidden/>
    <w:unhideWhenUsed/>
    <w:qFormat/>
    <w:uiPriority w:val="99"/>
    <w:pPr>
      <w:jc w:val="left"/>
    </w:pPr>
  </w:style>
  <w:style w:type="paragraph" w:styleId="9">
    <w:name w:val="Body Text"/>
    <w:basedOn w:val="1"/>
    <w:autoRedefine/>
    <w:qFormat/>
    <w:uiPriority w:val="0"/>
    <w:rPr>
      <w:rFonts w:ascii="楷体_GB2312" w:hAnsi="Arial" w:eastAsia="楷体_GB2312"/>
      <w:sz w:val="28"/>
      <w:szCs w:val="28"/>
    </w:rPr>
  </w:style>
  <w:style w:type="paragraph" w:styleId="10">
    <w:name w:val="Body Text Indent"/>
    <w:basedOn w:val="1"/>
    <w:next w:val="11"/>
    <w:autoRedefine/>
    <w:semiHidden/>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Arial" w:hAnsi="Arial" w:eastAsia="楷体_GB2312" w:cs="Times New Roman"/>
      <w:sz w:val="26"/>
      <w:szCs w:val="20"/>
    </w:rPr>
  </w:style>
  <w:style w:type="paragraph" w:styleId="12">
    <w:name w:val="index 4"/>
    <w:basedOn w:val="1"/>
    <w:next w:val="1"/>
    <w:autoRedefine/>
    <w:qFormat/>
    <w:uiPriority w:val="0"/>
    <w:pPr>
      <w:ind w:left="1260"/>
    </w:pPr>
    <w:rPr>
      <w:rFonts w:ascii="Calibri" w:hAnsi="Calibri" w:eastAsia="宋体" w:cs="Times New Roman"/>
      <w:szCs w:val="20"/>
    </w:rPr>
  </w:style>
  <w:style w:type="paragraph" w:styleId="13">
    <w:name w:val="toc 3"/>
    <w:basedOn w:val="1"/>
    <w:next w:val="1"/>
    <w:autoRedefine/>
    <w:qFormat/>
    <w:uiPriority w:val="0"/>
    <w:pPr>
      <w:ind w:left="840" w:leftChars="400"/>
    </w:pPr>
    <w:rPr>
      <w:rFonts w:ascii="Calibri" w:hAnsi="Calibri" w:eastAsia="宋体" w:cs="Times New Roman"/>
      <w:szCs w:val="20"/>
    </w:rPr>
  </w:style>
  <w:style w:type="paragraph" w:styleId="14">
    <w:name w:val="Plain Text"/>
    <w:basedOn w:val="1"/>
    <w:link w:val="61"/>
    <w:autoRedefine/>
    <w:qFormat/>
    <w:uiPriority w:val="99"/>
    <w:rPr>
      <w:rFonts w:ascii="宋体" w:hAnsi="Courier New" w:eastAsia="宋体" w:cs="Times New Roman"/>
      <w:szCs w:val="20"/>
    </w:r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19">
    <w:name w:val="Body Text Indent 3"/>
    <w:basedOn w:val="1"/>
    <w:qFormat/>
    <w:uiPriority w:val="99"/>
    <w:pPr>
      <w:ind w:left="645" w:firstLine="645"/>
    </w:pPr>
    <w:rPr>
      <w:sz w:val="16"/>
      <w:szCs w:val="16"/>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2">
    <w:name w:val="annotation subject"/>
    <w:basedOn w:val="8"/>
    <w:next w:val="8"/>
    <w:link w:val="56"/>
    <w:autoRedefine/>
    <w:semiHidden/>
    <w:unhideWhenUsed/>
    <w:qFormat/>
    <w:uiPriority w:val="99"/>
    <w:rPr>
      <w:b/>
      <w:bCs/>
    </w:rPr>
  </w:style>
  <w:style w:type="paragraph" w:styleId="23">
    <w:name w:val="Body Text First Indent"/>
    <w:basedOn w:val="1"/>
    <w:next w:val="1"/>
    <w:autoRedefine/>
    <w:unhideWhenUsed/>
    <w:qFormat/>
    <w:uiPriority w:val="99"/>
    <w:pPr>
      <w:ind w:firstLine="420" w:firstLineChars="100"/>
    </w:pPr>
  </w:style>
  <w:style w:type="paragraph" w:styleId="24">
    <w:name w:val="Body Text First Indent 2"/>
    <w:basedOn w:val="10"/>
    <w:next w:val="19"/>
    <w:autoRedefine/>
    <w:unhideWhenUsed/>
    <w:qFormat/>
    <w:uiPriority w:val="99"/>
    <w:pPr>
      <w:ind w:firstLine="420" w:firstLineChars="200"/>
    </w:p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basedOn w:val="27"/>
    <w:autoRedefine/>
    <w:semiHidden/>
    <w:unhideWhenUsed/>
    <w:qFormat/>
    <w:uiPriority w:val="99"/>
    <w:rPr>
      <w:color w:val="800080"/>
      <w:u w:val="none"/>
    </w:rPr>
  </w:style>
  <w:style w:type="character" w:styleId="30">
    <w:name w:val="HTML Definition"/>
    <w:basedOn w:val="27"/>
    <w:autoRedefine/>
    <w:semiHidden/>
    <w:unhideWhenUsed/>
    <w:qFormat/>
    <w:uiPriority w:val="99"/>
  </w:style>
  <w:style w:type="character" w:styleId="31">
    <w:name w:val="HTML Typewriter"/>
    <w:basedOn w:val="27"/>
    <w:autoRedefine/>
    <w:semiHidden/>
    <w:unhideWhenUsed/>
    <w:qFormat/>
    <w:uiPriority w:val="99"/>
    <w:rPr>
      <w:rFonts w:ascii="monospace" w:hAnsi="monospace" w:eastAsia="monospace" w:cs="monospace"/>
      <w:sz w:val="20"/>
    </w:rPr>
  </w:style>
  <w:style w:type="character" w:styleId="32">
    <w:name w:val="HTML Acronym"/>
    <w:basedOn w:val="27"/>
    <w:autoRedefine/>
    <w:semiHidden/>
    <w:unhideWhenUsed/>
    <w:qFormat/>
    <w:uiPriority w:val="99"/>
  </w:style>
  <w:style w:type="character" w:styleId="33">
    <w:name w:val="HTML Variable"/>
    <w:basedOn w:val="27"/>
    <w:autoRedefine/>
    <w:semiHidden/>
    <w:unhideWhenUsed/>
    <w:qFormat/>
    <w:uiPriority w:val="99"/>
  </w:style>
  <w:style w:type="character" w:styleId="34">
    <w:name w:val="Hyperlink"/>
    <w:basedOn w:val="27"/>
    <w:autoRedefine/>
    <w:unhideWhenUsed/>
    <w:qFormat/>
    <w:uiPriority w:val="99"/>
    <w:rPr>
      <w:color w:val="0000FF" w:themeColor="hyperlink"/>
      <w:u w:val="single"/>
      <w14:textFill>
        <w14:solidFill>
          <w14:schemeClr w14:val="hlink"/>
        </w14:solidFill>
      </w14:textFill>
    </w:rPr>
  </w:style>
  <w:style w:type="character" w:styleId="35">
    <w:name w:val="HTML Code"/>
    <w:basedOn w:val="27"/>
    <w:autoRedefine/>
    <w:semiHidden/>
    <w:unhideWhenUsed/>
    <w:qFormat/>
    <w:uiPriority w:val="99"/>
    <w:rPr>
      <w:rFonts w:hint="default" w:ascii="monospace" w:hAnsi="monospace" w:eastAsia="monospace" w:cs="monospace"/>
      <w:sz w:val="20"/>
    </w:rPr>
  </w:style>
  <w:style w:type="character" w:styleId="36">
    <w:name w:val="annotation reference"/>
    <w:basedOn w:val="27"/>
    <w:autoRedefine/>
    <w:semiHidden/>
    <w:unhideWhenUsed/>
    <w:qFormat/>
    <w:uiPriority w:val="99"/>
    <w:rPr>
      <w:sz w:val="21"/>
      <w:szCs w:val="21"/>
    </w:rPr>
  </w:style>
  <w:style w:type="character" w:styleId="37">
    <w:name w:val="HTML Cite"/>
    <w:basedOn w:val="27"/>
    <w:autoRedefine/>
    <w:semiHidden/>
    <w:unhideWhenUsed/>
    <w:qFormat/>
    <w:uiPriority w:val="99"/>
  </w:style>
  <w:style w:type="character" w:styleId="38">
    <w:name w:val="HTML Keyboard"/>
    <w:basedOn w:val="27"/>
    <w:autoRedefine/>
    <w:semiHidden/>
    <w:unhideWhenUsed/>
    <w:qFormat/>
    <w:uiPriority w:val="99"/>
    <w:rPr>
      <w:rFonts w:hint="default" w:ascii="monospace" w:hAnsi="monospace" w:eastAsia="monospace" w:cs="monospace"/>
      <w:sz w:val="20"/>
    </w:rPr>
  </w:style>
  <w:style w:type="character" w:styleId="39">
    <w:name w:val="HTML Sample"/>
    <w:basedOn w:val="27"/>
    <w:autoRedefine/>
    <w:semiHidden/>
    <w:unhideWhenUsed/>
    <w:qFormat/>
    <w:uiPriority w:val="99"/>
    <w:rPr>
      <w:rFonts w:hint="default" w:ascii="monospace" w:hAnsi="monospace" w:eastAsia="monospace" w:cs="monospace"/>
    </w:rPr>
  </w:style>
  <w:style w:type="paragraph" w:customStyle="1" w:styleId="40">
    <w:name w:val="正文文本1"/>
    <w:basedOn w:val="1"/>
    <w:qFormat/>
    <w:uiPriority w:val="0"/>
    <w:pPr>
      <w:spacing w:line="400" w:lineRule="exact"/>
    </w:pPr>
    <w:rPr>
      <w:rFonts w:ascii="楷体_GB2312"/>
      <w:sz w:val="28"/>
      <w:lang w:val="en-US" w:eastAsia="en-US"/>
    </w:rPr>
  </w:style>
  <w:style w:type="paragraph" w:customStyle="1" w:styleId="41">
    <w:name w:val="正文首行缩进 21"/>
    <w:basedOn w:val="10"/>
    <w:autoRedefine/>
    <w:unhideWhenUsed/>
    <w:qFormat/>
    <w:uiPriority w:val="0"/>
    <w:pPr>
      <w:ind w:firstLine="420"/>
    </w:pPr>
    <w:rPr>
      <w:lang w:val="en-US" w:eastAsia="en-US"/>
    </w:rPr>
  </w:style>
  <w:style w:type="paragraph" w:customStyle="1" w:styleId="42">
    <w:name w:val="首行缩进"/>
    <w:basedOn w:val="1"/>
    <w:qFormat/>
    <w:uiPriority w:val="0"/>
    <w:pPr>
      <w:ind w:firstLine="480" w:firstLineChars="200"/>
    </w:pPr>
    <w:rPr>
      <w:lang w:val="zh-CN"/>
    </w:rPr>
  </w:style>
  <w:style w:type="paragraph" w:customStyle="1" w:styleId="43">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4">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5">
    <w:name w:val="正文文本缩进1"/>
    <w:basedOn w:val="1"/>
    <w:next w:val="46"/>
    <w:autoRedefine/>
    <w:unhideWhenUsed/>
    <w:qFormat/>
    <w:uiPriority w:val="0"/>
    <w:pPr>
      <w:spacing w:after="120"/>
      <w:ind w:left="420"/>
    </w:pPr>
    <w:rPr>
      <w:rFonts w:ascii="Times New Roman" w:hAnsi="Times New Roman"/>
      <w:lang w:val="en-US" w:eastAsia="en-US"/>
    </w:rPr>
  </w:style>
  <w:style w:type="paragraph" w:customStyle="1" w:styleId="46">
    <w:name w:val="寄信人地址1"/>
    <w:basedOn w:val="1"/>
    <w:autoRedefine/>
    <w:unhideWhenUsed/>
    <w:qFormat/>
    <w:uiPriority w:val="99"/>
    <w:rPr>
      <w:rFonts w:ascii="Arial" w:hAnsi="Arial" w:eastAsia="楷体_GB2312" w:cs="Times New Roman"/>
      <w:sz w:val="26"/>
      <w:szCs w:val="20"/>
    </w:rPr>
  </w:style>
  <w:style w:type="character" w:customStyle="1" w:styleId="47">
    <w:name w:val="页眉 Char"/>
    <w:basedOn w:val="27"/>
    <w:link w:val="17"/>
    <w:autoRedefine/>
    <w:qFormat/>
    <w:uiPriority w:val="99"/>
    <w:rPr>
      <w:sz w:val="18"/>
      <w:szCs w:val="18"/>
    </w:rPr>
  </w:style>
  <w:style w:type="character" w:customStyle="1" w:styleId="48">
    <w:name w:val="页脚 Char"/>
    <w:basedOn w:val="27"/>
    <w:link w:val="16"/>
    <w:autoRedefine/>
    <w:qFormat/>
    <w:uiPriority w:val="99"/>
    <w:rPr>
      <w:sz w:val="18"/>
      <w:szCs w:val="18"/>
    </w:rPr>
  </w:style>
  <w:style w:type="character" w:customStyle="1" w:styleId="49">
    <w:name w:val="正文缩进 Char"/>
    <w:link w:val="5"/>
    <w:autoRedefine/>
    <w:qFormat/>
    <w:uiPriority w:val="0"/>
    <w:rPr>
      <w:rFonts w:ascii="Calibri" w:hAnsi="Calibri" w:eastAsia="楷体_GB2312" w:cs="Times New Roman"/>
      <w:kern w:val="0"/>
      <w:sz w:val="24"/>
      <w:szCs w:val="20"/>
    </w:rPr>
  </w:style>
  <w:style w:type="character" w:customStyle="1" w:styleId="50">
    <w:name w:val="标题 1 Char"/>
    <w:basedOn w:val="27"/>
    <w:link w:val="2"/>
    <w:autoRedefine/>
    <w:qFormat/>
    <w:uiPriority w:val="0"/>
    <w:rPr>
      <w:rFonts w:ascii="Calibri" w:hAnsi="Calibri" w:eastAsia="楷体_GB2312" w:cs="Times New Roman"/>
      <w:b/>
      <w:kern w:val="44"/>
      <w:sz w:val="44"/>
      <w:szCs w:val="20"/>
    </w:rPr>
  </w:style>
  <w:style w:type="character" w:customStyle="1" w:styleId="51">
    <w:name w:val="标题 2 Char"/>
    <w:basedOn w:val="27"/>
    <w:link w:val="3"/>
    <w:autoRedefine/>
    <w:qFormat/>
    <w:uiPriority w:val="9"/>
    <w:rPr>
      <w:rFonts w:asciiTheme="majorHAnsi" w:hAnsiTheme="majorHAnsi" w:eastAsiaTheme="majorEastAsia" w:cstheme="majorBidi"/>
      <w:b/>
      <w:bCs/>
      <w:sz w:val="32"/>
      <w:szCs w:val="32"/>
    </w:rPr>
  </w:style>
  <w:style w:type="character" w:customStyle="1" w:styleId="52">
    <w:name w:val="文档结构图 Char"/>
    <w:basedOn w:val="27"/>
    <w:link w:val="6"/>
    <w:autoRedefine/>
    <w:semiHidden/>
    <w:qFormat/>
    <w:uiPriority w:val="99"/>
    <w:rPr>
      <w:rFonts w:ascii="宋体" w:eastAsia="宋体"/>
      <w:sz w:val="18"/>
      <w:szCs w:val="18"/>
    </w:rPr>
  </w:style>
  <w:style w:type="character" w:customStyle="1" w:styleId="53">
    <w:name w:val="NormalCharacter"/>
    <w:autoRedefine/>
    <w:qFormat/>
    <w:uiPriority w:val="0"/>
    <w:rPr>
      <w:rFonts w:ascii="Times New Roman" w:hAnsi="Times New Roman" w:eastAsia="宋体" w:cs="Times New Roman"/>
    </w:rPr>
  </w:style>
  <w:style w:type="character" w:customStyle="1" w:styleId="54">
    <w:name w:val="批注框文本 Char"/>
    <w:basedOn w:val="27"/>
    <w:link w:val="15"/>
    <w:autoRedefine/>
    <w:semiHidden/>
    <w:qFormat/>
    <w:uiPriority w:val="99"/>
    <w:rPr>
      <w:kern w:val="2"/>
      <w:sz w:val="18"/>
      <w:szCs w:val="18"/>
    </w:rPr>
  </w:style>
  <w:style w:type="character" w:customStyle="1" w:styleId="55">
    <w:name w:val="批注文字 Char"/>
    <w:basedOn w:val="27"/>
    <w:link w:val="8"/>
    <w:autoRedefine/>
    <w:semiHidden/>
    <w:qFormat/>
    <w:uiPriority w:val="99"/>
    <w:rPr>
      <w:kern w:val="2"/>
      <w:sz w:val="21"/>
      <w:szCs w:val="22"/>
    </w:rPr>
  </w:style>
  <w:style w:type="character" w:customStyle="1" w:styleId="56">
    <w:name w:val="批注主题 Char"/>
    <w:basedOn w:val="55"/>
    <w:link w:val="22"/>
    <w:autoRedefine/>
    <w:semiHidden/>
    <w:qFormat/>
    <w:uiPriority w:val="99"/>
    <w:rPr>
      <w:b/>
      <w:bCs/>
      <w:kern w:val="2"/>
      <w:sz w:val="21"/>
      <w:szCs w:val="22"/>
    </w:rPr>
  </w:style>
  <w:style w:type="character" w:customStyle="1" w:styleId="57">
    <w:name w:val="普通正文 Char"/>
    <w:link w:val="58"/>
    <w:autoRedefine/>
    <w:qFormat/>
    <w:uiPriority w:val="0"/>
    <w:rPr>
      <w:rFonts w:ascii="Arial" w:hAnsi="Arial"/>
      <w:sz w:val="24"/>
      <w:szCs w:val="24"/>
    </w:rPr>
  </w:style>
  <w:style w:type="paragraph" w:customStyle="1" w:styleId="58">
    <w:name w:val="普通正文"/>
    <w:basedOn w:val="1"/>
    <w:link w:val="57"/>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9">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60">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1">
    <w:name w:val="纯文本 Char"/>
    <w:basedOn w:val="27"/>
    <w:link w:val="14"/>
    <w:autoRedefine/>
    <w:qFormat/>
    <w:locked/>
    <w:uiPriority w:val="0"/>
    <w:rPr>
      <w:rFonts w:ascii="宋体" w:hAnsi="Courier New" w:eastAsia="宋体" w:cs="Times New Roman"/>
      <w:kern w:val="2"/>
      <w:sz w:val="21"/>
    </w:rPr>
  </w:style>
  <w:style w:type="paragraph" w:styleId="62">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3">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4">
    <w:name w:val="列出段落2"/>
    <w:basedOn w:val="1"/>
    <w:autoRedefine/>
    <w:qFormat/>
    <w:uiPriority w:val="99"/>
    <w:pPr>
      <w:ind w:firstLine="420" w:firstLineChars="200"/>
    </w:pPr>
    <w:rPr>
      <w:rFonts w:ascii="Times New Roman" w:hAnsi="Times New Roman"/>
      <w:szCs w:val="24"/>
    </w:rPr>
  </w:style>
  <w:style w:type="character" w:customStyle="1" w:styleId="65">
    <w:name w:val="样式 小四 加粗"/>
    <w:basedOn w:val="27"/>
    <w:autoRedefine/>
    <w:qFormat/>
    <w:uiPriority w:val="0"/>
    <w:rPr>
      <w:rFonts w:eastAsia="黑体"/>
      <w:b/>
      <w:bCs/>
      <w:sz w:val="24"/>
    </w:rPr>
  </w:style>
  <w:style w:type="character" w:customStyle="1" w:styleId="66">
    <w:name w:val="first-child"/>
    <w:basedOn w:val="27"/>
    <w:autoRedefine/>
    <w:qFormat/>
    <w:uiPriority w:val="0"/>
  </w:style>
  <w:style w:type="character" w:customStyle="1" w:styleId="67">
    <w:name w:val="hover3"/>
    <w:basedOn w:val="27"/>
    <w:autoRedefine/>
    <w:qFormat/>
    <w:uiPriority w:val="0"/>
    <w:rPr>
      <w:color w:val="5FB878"/>
    </w:rPr>
  </w:style>
  <w:style w:type="character" w:customStyle="1" w:styleId="68">
    <w:name w:val="hover4"/>
    <w:basedOn w:val="27"/>
    <w:autoRedefine/>
    <w:qFormat/>
    <w:uiPriority w:val="0"/>
    <w:rPr>
      <w:color w:val="5FB878"/>
    </w:rPr>
  </w:style>
  <w:style w:type="character" w:customStyle="1" w:styleId="69">
    <w:name w:val="hover5"/>
    <w:basedOn w:val="27"/>
    <w:autoRedefine/>
    <w:qFormat/>
    <w:uiPriority w:val="0"/>
    <w:rPr>
      <w:color w:val="FFFFFF"/>
    </w:rPr>
  </w:style>
  <w:style w:type="character" w:customStyle="1" w:styleId="70">
    <w:name w:val="layui-this"/>
    <w:basedOn w:val="27"/>
    <w:autoRedefine/>
    <w:qFormat/>
    <w:uiPriority w:val="0"/>
    <w:rPr>
      <w:bdr w:val="single" w:color="EEEEEE" w:sz="6" w:space="0"/>
      <w:shd w:val="clear" w:fill="FFFFFF"/>
    </w:rPr>
  </w:style>
  <w:style w:type="paragraph" w:customStyle="1" w:styleId="71">
    <w:name w:val="正文缩进2格"/>
    <w:basedOn w:val="1"/>
    <w:qFormat/>
    <w:uiPriority w:val="0"/>
    <w:pPr>
      <w:spacing w:line="600" w:lineRule="exact"/>
      <w:ind w:firstLine="206"/>
    </w:pPr>
    <w:rPr>
      <w:rFonts w:ascii="仿宋_GB2312" w:hAnsi="宋体" w:eastAsia="仿宋_GB2312"/>
      <w:sz w:val="31"/>
      <w:szCs w:val="31"/>
    </w:rPr>
  </w:style>
  <w:style w:type="character" w:customStyle="1" w:styleId="72">
    <w:name w:val="font51"/>
    <w:qFormat/>
    <w:uiPriority w:val="0"/>
    <w:rPr>
      <w:rFonts w:hint="eastAsia" w:ascii="宋体" w:hAnsi="宋体" w:eastAsia="宋体" w:cs="宋体"/>
      <w:color w:val="000000"/>
      <w:sz w:val="20"/>
      <w:szCs w:val="20"/>
      <w:u w:val="none"/>
    </w:rPr>
  </w:style>
  <w:style w:type="character" w:customStyle="1" w:styleId="73">
    <w:name w:val="fontstyle01"/>
    <w:basedOn w:val="27"/>
    <w:autoRedefine/>
    <w:qFormat/>
    <w:uiPriority w:val="0"/>
    <w:rPr>
      <w:rFonts w:hint="default" w:ascii="PingFangSC-Regular-Identity-H" w:hAnsi="PingFangSC-Regular-Identity-H"/>
      <w:color w:val="000008"/>
      <w:sz w:val="24"/>
      <w:szCs w:val="24"/>
    </w:rPr>
  </w:style>
  <w:style w:type="character" w:customStyle="1" w:styleId="74">
    <w:name w:val="fontstyle21"/>
    <w:basedOn w:val="27"/>
    <w:autoRedefine/>
    <w:qFormat/>
    <w:uiPriority w:val="0"/>
    <w:rPr>
      <w:rFonts w:hint="default" w:ascii="TimesNewRomanPSMT" w:hAnsi="TimesNewRomanPSMT"/>
      <w:color w:val="000008"/>
      <w:sz w:val="24"/>
      <w:szCs w:val="24"/>
    </w:rPr>
  </w:style>
  <w:style w:type="paragraph" w:customStyle="1" w:styleId="75">
    <w:name w:val="普通(网站) Char"/>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76">
    <w:name w:val="font11"/>
    <w:qFormat/>
    <w:uiPriority w:val="0"/>
    <w:rPr>
      <w:rFonts w:hint="eastAsia" w:ascii="宋体" w:hAnsi="宋体" w:eastAsia="宋体" w:cs="宋体"/>
      <w:color w:val="000000"/>
      <w:sz w:val="24"/>
      <w:szCs w:val="24"/>
      <w:u w:val="none"/>
    </w:rPr>
  </w:style>
  <w:style w:type="character" w:customStyle="1" w:styleId="77">
    <w:name w:val="font6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5583</Words>
  <Characters>5935</Characters>
  <Lines>120</Lines>
  <Paragraphs>33</Paragraphs>
  <TotalTime>6</TotalTime>
  <ScaleCrop>false</ScaleCrop>
  <LinksUpToDate>false</LinksUpToDate>
  <CharactersWithSpaces>5982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2024-11-07T03:18:46Z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079A696EDF02486BB848DA2AE0392408_13</vt:lpwstr>
  </property>
</Properties>
</file>